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E" w:rsidRPr="00B93E2E" w:rsidRDefault="00B93E2E" w:rsidP="00B93E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ru-RU" w:eastAsia="ru-RU"/>
        </w:rPr>
        <w:drawing>
          <wp:inline distT="0" distB="0" distL="0" distR="0" wp14:anchorId="7AB2B9FB" wp14:editId="3595BD2F">
            <wp:extent cx="985520" cy="9975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2E" w:rsidRPr="00B3584B" w:rsidRDefault="00B93E2E" w:rsidP="00B93E2E">
      <w:pPr>
        <w:spacing w:after="0"/>
        <w:jc w:val="center"/>
        <w:rPr>
          <w:rFonts w:ascii="Book Antiqua" w:hAnsi="Book Antiqua"/>
          <w:b/>
          <w:sz w:val="24"/>
          <w:lang w:val="ru-RU"/>
        </w:rPr>
      </w:pPr>
      <w:r w:rsidRPr="00B3584B">
        <w:rPr>
          <w:rFonts w:ascii="Book Antiqua" w:hAnsi="Book Antiqua"/>
          <w:b/>
          <w:sz w:val="24"/>
          <w:lang w:val="ru-RU"/>
        </w:rPr>
        <w:t>РЕСПУБЛИКА ДАГЕСТАН</w:t>
      </w:r>
    </w:p>
    <w:p w:rsidR="00B93E2E" w:rsidRPr="00B3584B" w:rsidRDefault="00B93E2E" w:rsidP="00B93E2E">
      <w:pPr>
        <w:spacing w:after="0"/>
        <w:jc w:val="center"/>
        <w:rPr>
          <w:rFonts w:ascii="Book Antiqua" w:hAnsi="Book Antiqua"/>
          <w:b/>
          <w:sz w:val="24"/>
          <w:lang w:val="ru-RU"/>
        </w:rPr>
      </w:pPr>
      <w:r w:rsidRPr="00B3584B">
        <w:rPr>
          <w:rFonts w:ascii="Book Antiqua" w:hAnsi="Book Antiqua"/>
          <w:b/>
          <w:sz w:val="24"/>
          <w:lang w:val="ru-RU"/>
        </w:rPr>
        <w:t>МУНИЦИПАЛЬНОЕ КАЗЕННОЕ ОБЩЕОБРАЗОВАТЕЛЬНОЕ УЧРЕЖДЕНИЕ</w:t>
      </w:r>
    </w:p>
    <w:p w:rsidR="00B93E2E" w:rsidRDefault="00B93E2E" w:rsidP="00B93E2E">
      <w:pPr>
        <w:spacing w:after="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«СРЕДНЯЯ ОБЩЕОБРАЗОВАТЕЛЬНАЯ ШКОЛА №4»</w:t>
      </w:r>
    </w:p>
    <w:p w:rsidR="00B93E2E" w:rsidRDefault="00B93E2E" w:rsidP="00B93E2E">
      <w:pPr>
        <w:spacing w:after="0"/>
        <w:rPr>
          <w:rFonts w:ascii="Book Antiqua" w:hAnsi="Book Antiqua"/>
          <w:b/>
          <w:sz w:val="24"/>
        </w:rPr>
      </w:pPr>
    </w:p>
    <w:p w:rsidR="00B93E2E" w:rsidRPr="00B3584B" w:rsidRDefault="00B93E2E" w:rsidP="00B93E2E">
      <w:pPr>
        <w:spacing w:before="0" w:beforeAutospacing="0" w:after="0"/>
        <w:rPr>
          <w:rFonts w:ascii="Book Antiqua" w:hAnsi="Book Antiqua"/>
          <w:b/>
          <w:sz w:val="24"/>
          <w:lang w:val="ru-RU"/>
        </w:rPr>
      </w:pPr>
      <w:r w:rsidRPr="00B3584B">
        <w:rPr>
          <w:rFonts w:ascii="Book Antiqua" w:hAnsi="Book Antiqua"/>
          <w:b/>
          <w:sz w:val="24"/>
          <w:lang w:val="ru-RU"/>
        </w:rPr>
        <w:t>368890, г. Южно–Сухокумск                                        тел./факс: 8(87276) 2-12-72</w:t>
      </w:r>
    </w:p>
    <w:p w:rsidR="00B93E2E" w:rsidRPr="00B3584B" w:rsidRDefault="00B93E2E" w:rsidP="00B93E2E">
      <w:pPr>
        <w:tabs>
          <w:tab w:val="left" w:pos="5130"/>
        </w:tabs>
        <w:spacing w:before="0" w:beforeAutospacing="0" w:after="0"/>
        <w:ind w:right="424"/>
        <w:rPr>
          <w:rFonts w:ascii="Book Antiqua" w:hAnsi="Book Antiqua"/>
          <w:b/>
          <w:color w:val="000000" w:themeColor="text1"/>
          <w:sz w:val="24"/>
          <w:u w:val="single"/>
          <w:lang w:val="ru-RU"/>
        </w:rPr>
      </w:pPr>
      <w:r w:rsidRPr="00B3584B">
        <w:rPr>
          <w:rFonts w:ascii="Book Antiqua" w:hAnsi="Book Antiqua"/>
          <w:b/>
          <w:sz w:val="24"/>
          <w:u w:val="single"/>
          <w:lang w:val="ru-RU"/>
        </w:rPr>
        <w:t xml:space="preserve">ул. Комарова 8                                                </w:t>
      </w:r>
      <w:r w:rsidRPr="00B3584B">
        <w:rPr>
          <w:rFonts w:ascii="Book Antiqua" w:hAnsi="Book Antiqua"/>
          <w:sz w:val="24"/>
          <w:u w:val="single"/>
          <w:lang w:val="ru-RU"/>
        </w:rPr>
        <w:t xml:space="preserve">       </w:t>
      </w:r>
      <w:r w:rsidRPr="00B3584B">
        <w:rPr>
          <w:rFonts w:ascii="Book Antiqua" w:hAnsi="Book Antiqua"/>
          <w:b/>
          <w:sz w:val="24"/>
          <w:u w:val="single"/>
          <w:lang w:val="ru-RU"/>
        </w:rPr>
        <w:t xml:space="preserve">       </w:t>
      </w:r>
      <w:r>
        <w:rPr>
          <w:rFonts w:ascii="Book Antiqua" w:hAnsi="Book Antiqua"/>
          <w:b/>
          <w:sz w:val="24"/>
          <w:u w:val="single"/>
        </w:rPr>
        <w:t>e</w:t>
      </w:r>
      <w:r w:rsidRPr="00B3584B">
        <w:rPr>
          <w:rFonts w:ascii="Book Antiqua" w:hAnsi="Book Antiqua"/>
          <w:b/>
          <w:sz w:val="24"/>
          <w:u w:val="single"/>
          <w:lang w:val="ru-RU"/>
        </w:rPr>
        <w:t>-</w:t>
      </w:r>
      <w:r>
        <w:rPr>
          <w:rFonts w:ascii="Book Antiqua" w:hAnsi="Book Antiqua"/>
          <w:b/>
          <w:sz w:val="24"/>
          <w:u w:val="single"/>
        </w:rPr>
        <w:t>mail</w:t>
      </w:r>
      <w:r w:rsidRPr="00B3584B">
        <w:rPr>
          <w:rFonts w:ascii="Book Antiqua" w:hAnsi="Book Antiqua"/>
          <w:b/>
          <w:sz w:val="24"/>
          <w:u w:val="single"/>
          <w:lang w:val="ru-RU"/>
        </w:rPr>
        <w:t xml:space="preserve">: </w:t>
      </w:r>
      <w:hyperlink r:id="rId7" w:history="1">
        <w:r>
          <w:rPr>
            <w:rStyle w:val="a3"/>
            <w:rFonts w:ascii="Book Antiqua" w:hAnsi="Book Antiqua"/>
            <w:color w:val="000000" w:themeColor="text1"/>
            <w:sz w:val="24"/>
          </w:rPr>
          <w:t>mkousosh</w:t>
        </w:r>
        <w:r w:rsidRPr="00B3584B">
          <w:rPr>
            <w:rStyle w:val="a3"/>
            <w:rFonts w:ascii="Book Antiqua" w:hAnsi="Book Antiqua"/>
            <w:color w:val="000000" w:themeColor="text1"/>
            <w:sz w:val="24"/>
            <w:lang w:val="ru-RU"/>
          </w:rPr>
          <w:t>-4@</w:t>
        </w:r>
        <w:r>
          <w:rPr>
            <w:rStyle w:val="a3"/>
            <w:rFonts w:ascii="Book Antiqua" w:hAnsi="Book Antiqua"/>
            <w:color w:val="000000" w:themeColor="text1"/>
            <w:sz w:val="24"/>
          </w:rPr>
          <w:t>mail</w:t>
        </w:r>
        <w:r w:rsidRPr="00B3584B">
          <w:rPr>
            <w:rStyle w:val="a3"/>
            <w:rFonts w:ascii="Book Antiqua" w:hAnsi="Book Antiqua"/>
            <w:color w:val="000000" w:themeColor="text1"/>
            <w:sz w:val="24"/>
            <w:lang w:val="ru-RU"/>
          </w:rPr>
          <w:t>.</w:t>
        </w:r>
        <w:proofErr w:type="spellStart"/>
        <w:r>
          <w:rPr>
            <w:rStyle w:val="a3"/>
            <w:rFonts w:ascii="Book Antiqua" w:hAnsi="Book Antiqua"/>
            <w:color w:val="000000" w:themeColor="text1"/>
            <w:sz w:val="24"/>
          </w:rPr>
          <w:t>ru</w:t>
        </w:r>
        <w:proofErr w:type="spellEnd"/>
      </w:hyperlink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8"/>
        <w:gridCol w:w="1550"/>
        <w:gridCol w:w="2271"/>
        <w:gridCol w:w="1978"/>
      </w:tblGrid>
      <w:tr w:rsidR="00F12B20"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B20"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МКОУ </w:t>
            </w:r>
            <w:r w:rsidR="007A18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4»</w:t>
            </w:r>
          </w:p>
        </w:tc>
      </w:tr>
      <w:tr w:rsidR="00F12B20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7A18E6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7A18E6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r w:rsidR="007A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="007A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93E2E" w:rsidRDefault="00B93E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Р.Р.Сулейманов</w:t>
            </w:r>
          </w:p>
        </w:tc>
      </w:tr>
      <w:tr w:rsidR="00F12B20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 w:rsidP="00B35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7A18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 w:rsidR="007A18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7A18E6" w:rsidP="00B35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B3584B">
        <w:rPr>
          <w:lang w:val="ru-RU"/>
        </w:rPr>
        <w:br/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B3584B">
        <w:rPr>
          <w:lang w:val="ru-RU"/>
        </w:rPr>
        <w:br/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казённого общеобразовательного учреждения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Средняя общеобразовательная 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 № 4»</w:t>
      </w:r>
      <w:r w:rsidRPr="00B3584B">
        <w:rPr>
          <w:lang w:val="ru-RU"/>
        </w:rPr>
        <w:br/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F12B20" w:rsidRPr="00B3584B" w:rsidRDefault="00F12B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B20" w:rsidRPr="00B3584B" w:rsidRDefault="00B93E2E" w:rsidP="00CC2AC3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B3584B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5512"/>
      </w:tblGrid>
      <w:tr w:rsidR="00F12B20" w:rsidRPr="00B3584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 w:rsidP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казённое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общеобразовательная 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(МКОУ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4)</w:t>
            </w:r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Рамазан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Раидинович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Сулейманов</w:t>
            </w:r>
            <w:proofErr w:type="spellEnd"/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368890,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РД,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Южно-Сухокумск,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д.8</w:t>
            </w:r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887) 276-2-12-72</w:t>
            </w:r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mkousosh-4@mail.ru</w:t>
            </w:r>
          </w:p>
        </w:tc>
      </w:tr>
      <w:tr w:rsidR="00F12B20" w:rsidRPr="00B3584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93E2E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ГО «город Южно-Сухокумск»</w:t>
            </w:r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1986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12B20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B667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24.12.2014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05ЛО</w:t>
            </w:r>
            <w:r w:rsidR="00B667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B667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0002218</w:t>
            </w:r>
          </w:p>
        </w:tc>
      </w:tr>
      <w:tr w:rsidR="00F12B20" w:rsidRPr="00B3584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 w:rsidP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10.07.2015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proofErr w:type="gramStart"/>
            <w:r w:rsidR="00B667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1209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срок действия: до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 2025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МКОУ «СОШ № 4» (далее – Школа) является реализация общеобразовательных программ: </w:t>
      </w:r>
    </w:p>
    <w:p w:rsidR="00F12B20" w:rsidRPr="00B3584B" w:rsidRDefault="00B93E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F12B20" w:rsidRPr="00B3584B" w:rsidRDefault="00B93E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F12B20" w:rsidRPr="00B3584B" w:rsidRDefault="00B93E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 и взрослых.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8"/>
        <w:gridCol w:w="6598"/>
      </w:tblGrid>
      <w:tr w:rsidR="00F12B20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12B20" w:rsidRPr="00B3584B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12B20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12B20" w:rsidRDefault="00B93E2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12B20" w:rsidRDefault="00B93E2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12B20" w:rsidRDefault="00B93E2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12B20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12B20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2B20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12B20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12B20" w:rsidRPr="00B3584B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12B20" w:rsidRPr="00B3584B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12B20" w:rsidRPr="00B3584B" w:rsidRDefault="00B93E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12B20" w:rsidRDefault="00B93E2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12B20" w:rsidRPr="00B3584B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организацией, в том числе:</w:t>
            </w:r>
          </w:p>
          <w:p w:rsidR="00F12B20" w:rsidRPr="00B3584B" w:rsidRDefault="00B93E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12B20" w:rsidRPr="00B3584B" w:rsidRDefault="00B93E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12B20" w:rsidRPr="00B3584B" w:rsidRDefault="00B93E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12B20" w:rsidRPr="00B3584B" w:rsidRDefault="00B93E2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B667CE" w:rsidRPr="00B3584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</w:t>
      </w:r>
      <w:r w:rsidR="00B667CE" w:rsidRPr="00B3584B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67CE" w:rsidRPr="00B3584B" w:rsidRDefault="00B667C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литературы;</w:t>
      </w:r>
    </w:p>
    <w:p w:rsidR="00B667CE" w:rsidRPr="00B667CE" w:rsidRDefault="00B667C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истории и обществознания;</w:t>
      </w:r>
    </w:p>
    <w:p w:rsidR="00F12B20" w:rsidRPr="00B667CE" w:rsidRDefault="00B667CE" w:rsidP="00B667C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английского языка</w:t>
      </w:r>
    </w:p>
    <w:p w:rsidR="00B667CE" w:rsidRDefault="00B93E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7CE">
        <w:rPr>
          <w:rFonts w:hAnsi="Times New Roman" w:cs="Times New Roman"/>
          <w:color w:val="000000"/>
          <w:sz w:val="24"/>
          <w:szCs w:val="24"/>
        </w:rPr>
        <w:t>дисциплин</w:t>
      </w:r>
      <w:proofErr w:type="spellEnd"/>
      <w:r w:rsidR="00B667CE">
        <w:rPr>
          <w:rFonts w:hAnsi="Times New Roman" w:cs="Times New Roman"/>
          <w:color w:val="000000"/>
          <w:sz w:val="24"/>
          <w:szCs w:val="24"/>
        </w:rPr>
        <w:t>;</w:t>
      </w:r>
    </w:p>
    <w:p w:rsidR="00F12B20" w:rsidRDefault="00B93E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математических дисциплин;</w:t>
      </w:r>
    </w:p>
    <w:p w:rsidR="00F12B20" w:rsidRDefault="00B93E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F12B20" w:rsidRDefault="00F12B20">
      <w:pPr>
        <w:rPr>
          <w:rFonts w:hAnsi="Times New Roman" w:cs="Times New Roman"/>
          <w:color w:val="000000"/>
          <w:sz w:val="24"/>
          <w:szCs w:val="24"/>
        </w:rPr>
      </w:pPr>
    </w:p>
    <w:p w:rsidR="00F12B20" w:rsidRDefault="00B93E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</w:t>
      </w:r>
      <w:r w:rsidR="00B667CE" w:rsidRPr="00B358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ГОС ОО.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B667CE" w:rsidRPr="00B3584B" w:rsidRDefault="00B667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763"/>
        <w:gridCol w:w="3000"/>
        <w:gridCol w:w="1734"/>
        <w:gridCol w:w="1586"/>
      </w:tblGrid>
      <w:tr w:rsidR="00F12B20" w:rsidRPr="00B3584B" w:rsidTr="00B667CE">
        <w:trPr>
          <w:trHeight w:val="104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12B2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667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12B20" w:rsidRDefault="00B93E2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F12B20" w:rsidRDefault="00B667C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667CE" w:rsidRDefault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2B2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667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667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B667CE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3282"/>
        <w:gridCol w:w="1739"/>
        <w:gridCol w:w="2755"/>
      </w:tblGrid>
      <w:tr w:rsidR="00F12B20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12B20" w:rsidRPr="00B3584B">
        <w:trPr>
          <w:trHeight w:val="3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 w:rsidP="00B35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разделы «Система </w:t>
            </w:r>
            <w:proofErr w:type="gram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с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изменений в ООП НОО </w:t>
            </w:r>
            <w:proofErr w:type="gram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связи с пандемией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rPr>
          <w:trHeight w:val="3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 w:rsidP="00B35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 w:rsidP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667CE"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по требованиям СП 3.1/2.4.3598–20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 w:rsidRPr="00B3584B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2B20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Общая численность </w:t>
      </w:r>
      <w:proofErr w:type="gram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</w:t>
      </w:r>
      <w:r w:rsid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8"/>
        <w:gridCol w:w="2978"/>
      </w:tblGrid>
      <w:tr w:rsidR="00F12B20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12B20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667CE" w:rsidRDefault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</w:tr>
      <w:tr w:rsidR="00F12B20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667CE" w:rsidRDefault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</w:tr>
      <w:tr w:rsidR="00F12B20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667CE" w:rsidRDefault="00B667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B667CE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F32">
        <w:rPr>
          <w:rFonts w:hAnsi="Times New Roman" w:cs="Times New Roman"/>
          <w:color w:val="000000"/>
          <w:sz w:val="24"/>
          <w:szCs w:val="24"/>
          <w:lang w:val="ru-RU"/>
        </w:rPr>
        <w:t xml:space="preserve">534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F12B20" w:rsidRPr="00B3584B" w:rsidRDefault="00B93E2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F12B20" w:rsidRPr="00B3584B" w:rsidRDefault="00B93E2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F12B20" w:rsidRPr="00B3584B" w:rsidRDefault="00B93E2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ОО в 20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работала по ФГОС СОО. Учащиеся 10-х и 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классов обучались по физико-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математическому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учебному плану 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ГОС, БУП 2004. В целях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предложены для изучения на углубленном уровне предметы: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4"/>
        <w:gridCol w:w="3141"/>
        <w:gridCol w:w="3052"/>
      </w:tblGrid>
      <w:tr w:rsidR="00F12B20" w:rsidTr="00036F3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элективных курсов*</w:t>
            </w:r>
          </w:p>
        </w:tc>
      </w:tr>
      <w:tr w:rsidR="00F12B20" w:rsidTr="00036F3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036F32">
              <w:rPr>
                <w:rFonts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Физико-</w:t>
            </w:r>
            <w:r w:rsidR="00036F32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Математика. Физика. Химия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036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B20" w:rsidTr="00036F3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036F32">
              <w:rPr>
                <w:rFonts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Физико-химический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Математика. Химия. Физика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036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12B20" w:rsidRDefault="00B93E2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здоровья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F12B20" w:rsidRPr="00B3584B" w:rsidRDefault="00B93E2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тяжелыми нарушениями 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="00036F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рно-двигательного аппарата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Весной 2020 года педагогом-психологом была проведена работа по адаптации ученика с ОВЗ в период дистанционного обучения. Проведена работа с родителями и педагогами.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На начало 2020/21 учебного года дети с ОВЗ в Школе не обучаются.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включает:</w:t>
      </w:r>
    </w:p>
    <w:p w:rsidR="00F12B20" w:rsidRPr="00B3584B" w:rsidRDefault="00B93E2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12B20" w:rsidRPr="00B3584B" w:rsidRDefault="00B93E2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12B20" w:rsidRDefault="00B93E2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6F32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F12B20" w:rsidRPr="00B3584B" w:rsidRDefault="00B93E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F12B20" w:rsidRPr="00B3584B" w:rsidRDefault="00B93E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F12B20" w:rsidRPr="00B3584B" w:rsidRDefault="00B93E2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036F32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Осень 2020.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занятия по внеурочной деятельности проводились в традиционном очном формате. </w:t>
      </w:r>
    </w:p>
    <w:p w:rsidR="00036F32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</w:t>
      </w:r>
      <w:r w:rsidR="00036F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объеме, в основном удалось сохранить контингент учеников.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здоровьесберегающее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интеллектуальное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социокультурное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воспитание;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 воспитание;</w:t>
      </w:r>
    </w:p>
    <w:p w:rsidR="00F12B20" w:rsidRPr="00B3584B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правовое воспитание и культура безопасности;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12B20" w:rsidRDefault="00B93E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родителями;</w:t>
      </w:r>
    </w:p>
    <w:p w:rsidR="00F12B20" w:rsidRPr="00B3584B" w:rsidRDefault="00B93E2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работа с учениками группы риска и их родителями.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F12B20" w:rsidRDefault="00B93E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12B20" w:rsidRPr="00B3584B" w:rsidRDefault="00B93E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F12B20" w:rsidRPr="00B3584B" w:rsidRDefault="00B93E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F12B20" w:rsidRPr="00B3584B" w:rsidRDefault="00B93E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F12B20" w:rsidRPr="00B3584B" w:rsidRDefault="00B93E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F12B20" w:rsidRDefault="00B93E2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На начало 202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B358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в Школе сформировано</w:t>
      </w:r>
      <w:r w:rsidR="00036F32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 художественной, социально-педагогической, туристско-краеведческой,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технической (кроме физкультурно-спортивного направления) направленности реализовывались в дистанционном формате:</w:t>
      </w:r>
    </w:p>
    <w:p w:rsidR="00F12B20" w:rsidRPr="00B3584B" w:rsidRDefault="00B93E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  <w:proofErr w:type="gramEnd"/>
    </w:p>
    <w:p w:rsidR="00F12B20" w:rsidRPr="00B3584B" w:rsidRDefault="00B93E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F12B20" w:rsidRPr="00B3584B" w:rsidRDefault="00B93E2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проводилось обязательное информирование обучающихся и их родителей об изменениях в программах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61BB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</w:t>
      </w:r>
      <w:r w:rsid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</w:t>
      </w:r>
      <w:r w:rsidR="00CC307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 w:rsidR="00CC307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занятия по программам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проводились в традиционном очном формате. 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F12B20" w:rsidRPr="00B3584B" w:rsidRDefault="00B93E2E" w:rsidP="00A361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Данные проблемы повлияли на качество дополнительного образования, существенно повысив его.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F12B20" w:rsidRPr="00CC3073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6. Статистика показателей за 20</w:t>
      </w:r>
      <w:r w:rsid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C3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7"/>
        <w:gridCol w:w="6250"/>
        <w:gridCol w:w="2060"/>
      </w:tblGrid>
      <w:tr w:rsidR="00F12B2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 w:rsidP="00456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562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4562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12B20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B3584B" w:rsidRDefault="00B93E2E" w:rsidP="00456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</w:t>
            </w:r>
            <w:r w:rsidR="00456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456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F12B20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12B20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12B20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Школе присутствует профильное обучение. Углубленного обучения нет.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456265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56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"/>
        <w:gridCol w:w="820"/>
        <w:gridCol w:w="952"/>
        <w:gridCol w:w="375"/>
        <w:gridCol w:w="891"/>
        <w:gridCol w:w="412"/>
        <w:gridCol w:w="891"/>
        <w:gridCol w:w="412"/>
        <w:gridCol w:w="952"/>
        <w:gridCol w:w="300"/>
        <w:gridCol w:w="952"/>
        <w:gridCol w:w="300"/>
        <w:gridCol w:w="952"/>
        <w:gridCol w:w="300"/>
      </w:tblGrid>
      <w:tr w:rsidR="00F12B2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2020 году, то можно отметить, что процент учащихся, окончивших на «4» и «5», вырос на 2,6 процента (в 2019-м был 62,4%), процент учащихся, окончивших на «5», вырос на 2,5 процента (в 2019-м – 17,5%).</w:t>
      </w:r>
      <w:proofErr w:type="gramEnd"/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456265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56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"/>
        <w:gridCol w:w="820"/>
        <w:gridCol w:w="952"/>
        <w:gridCol w:w="375"/>
        <w:gridCol w:w="891"/>
        <w:gridCol w:w="412"/>
        <w:gridCol w:w="891"/>
        <w:gridCol w:w="412"/>
        <w:gridCol w:w="952"/>
        <w:gridCol w:w="300"/>
        <w:gridCol w:w="952"/>
        <w:gridCol w:w="300"/>
        <w:gridCol w:w="952"/>
        <w:gridCol w:w="300"/>
      </w:tblGrid>
      <w:tr w:rsidR="00F12B2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A361BB" w:rsidRDefault="00A36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A361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205DE4" w:rsidRDefault="00205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205DE4" w:rsidRDefault="00205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5DE4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повысился на 1,7 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456265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56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"/>
        <w:gridCol w:w="820"/>
        <w:gridCol w:w="952"/>
        <w:gridCol w:w="375"/>
        <w:gridCol w:w="891"/>
        <w:gridCol w:w="412"/>
        <w:gridCol w:w="891"/>
        <w:gridCol w:w="412"/>
        <w:gridCol w:w="952"/>
        <w:gridCol w:w="300"/>
        <w:gridCol w:w="952"/>
        <w:gridCol w:w="300"/>
        <w:gridCol w:w="952"/>
        <w:gridCol w:w="300"/>
      </w:tblGrid>
      <w:tr w:rsidR="00F12B2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F12B20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205DE4" w:rsidRDefault="00205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 учебном году выросли на</w:t>
      </w:r>
      <w:r w:rsidR="00205DE4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13,5%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Особенности проведения ГИА в</w:t>
      </w:r>
      <w:r w:rsidR="0045626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205DE4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2B20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проходивших процедуру </w:t>
            </w:r>
            <w:r w:rsidRPr="00B3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Количество обучающихся в 11-м классах по профилям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7"/>
        <w:gridCol w:w="2369"/>
        <w:gridCol w:w="2172"/>
        <w:gridCol w:w="3369"/>
      </w:tblGrid>
      <w:tr w:rsidR="00F12B20" w:rsidTr="00205DE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2B20" w:rsidTr="00205DE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Нурмагомедова Асият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Магомедовна</w:t>
            </w:r>
            <w:proofErr w:type="spellEnd"/>
          </w:p>
        </w:tc>
      </w:tr>
      <w:tr w:rsidR="00F12B20" w:rsidTr="00205DE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205DE4">
              <w:rPr>
                <w:rFonts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  <w:proofErr w:type="spell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Алтухова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Выбор предметов для сдачи ЕГЭ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1540"/>
        <w:gridCol w:w="1457"/>
        <w:gridCol w:w="1462"/>
        <w:gridCol w:w="1590"/>
      </w:tblGrid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</w:t>
            </w:r>
            <w:r w:rsidR="00205D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205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 w:rsidTr="00205DE4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4"/>
        <w:gridCol w:w="1534"/>
        <w:gridCol w:w="1534"/>
        <w:gridCol w:w="1534"/>
        <w:gridCol w:w="1534"/>
        <w:gridCol w:w="1537"/>
      </w:tblGrid>
      <w:tr w:rsidR="00F12B20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F12B20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12B20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CC2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039"/>
        <w:gridCol w:w="2152"/>
        <w:gridCol w:w="2342"/>
      </w:tblGrid>
      <w:tr w:rsidR="00F12B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2B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35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Бадиева Асият Азихановна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3541A1" w:rsidRDefault="003541A1">
            <w:pPr>
              <w:rPr>
                <w:lang w:val="ru-RU"/>
              </w:rPr>
            </w:pPr>
            <w:r>
              <w:rPr>
                <w:lang w:val="ru-RU"/>
              </w:rPr>
              <w:t>Рамазанова Рабият Залимхановна</w:t>
            </w:r>
          </w:p>
        </w:tc>
      </w:tr>
      <w:tr w:rsidR="00F12B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3541A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Бадиева Наида Нуцалхановна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3541A1">
              <w:rPr>
                <w:rFonts w:hAnsi="Times New Roman" w:cs="Times New Roman"/>
                <w:color w:val="000000"/>
                <w:sz w:val="24"/>
                <w:szCs w:val="24"/>
              </w:rPr>
              <w:t>«А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3541A1">
            <w:r>
              <w:rPr>
                <w:lang w:val="ru-RU"/>
              </w:rPr>
              <w:t>Рамазанова Рабият Залимхановна</w:t>
            </w:r>
          </w:p>
        </w:tc>
      </w:tr>
      <w:tr w:rsidR="00F12B2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3541A1" w:rsidRDefault="003541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3541A1" w:rsidRDefault="003541A1">
            <w:pPr>
              <w:rPr>
                <w:lang w:val="ru-RU"/>
              </w:rPr>
            </w:pPr>
            <w:r>
              <w:rPr>
                <w:lang w:val="ru-RU"/>
              </w:rPr>
              <w:t>Магомедрасулова Эльмира Магомедзагировна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3541A1" w:rsidRDefault="003541A1">
            <w:pPr>
              <w:rPr>
                <w:lang w:val="ru-RU"/>
              </w:rPr>
            </w:pPr>
            <w:r>
              <w:rPr>
                <w:lang w:val="ru-RU"/>
              </w:rPr>
              <w:t>11 «А»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3541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Рамазанова Рабият Залимхановна</w:t>
            </w:r>
          </w:p>
        </w:tc>
      </w:tr>
      <w:tr w:rsidR="003541A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1A1" w:rsidRDefault="003541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1A1" w:rsidRDefault="003541A1">
            <w:pPr>
              <w:rPr>
                <w:lang w:val="ru-RU"/>
              </w:rPr>
            </w:pPr>
            <w:r>
              <w:rPr>
                <w:lang w:val="ru-RU"/>
              </w:rPr>
              <w:t xml:space="preserve">Пискунова Диана </w:t>
            </w:r>
            <w:proofErr w:type="spellStart"/>
            <w:r>
              <w:rPr>
                <w:lang w:val="ru-RU"/>
              </w:rPr>
              <w:t>владимиролвна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1A1" w:rsidRDefault="003541A1">
            <w:pPr>
              <w:rPr>
                <w:lang w:val="ru-RU"/>
              </w:rPr>
            </w:pPr>
            <w:r>
              <w:rPr>
                <w:lang w:val="ru-RU"/>
              </w:rPr>
              <w:t>11 «П»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1A1" w:rsidRPr="003541A1" w:rsidRDefault="003541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Алтухова Вера Андреевна</w:t>
            </w:r>
          </w:p>
        </w:tc>
      </w:tr>
    </w:tbl>
    <w:p w:rsidR="00F12B20" w:rsidRDefault="00B93E2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итогах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экзаменов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Результаты по математике (профильный уровень)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7"/>
        <w:gridCol w:w="1715"/>
        <w:gridCol w:w="1750"/>
        <w:gridCol w:w="1542"/>
        <w:gridCol w:w="1332"/>
        <w:gridCol w:w="1181"/>
      </w:tblGrid>
      <w:tr w:rsidR="00F12B20">
        <w:trPr>
          <w:trHeight w:val="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 в ЕГЭ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 – кол-во баллов)</w:t>
            </w:r>
          </w:p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F12B2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  <w:p w:rsidR="00F12B20" w:rsidRPr="00CC2AC3" w:rsidRDefault="00CC2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Рабият Залимхановна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996DCD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12B2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="00996D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12B20" w:rsidRPr="00CC2AC3" w:rsidRDefault="00CC2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Алтухова Вера Андреевна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996DCD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12B2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  <w:tr w:rsidR="00F12B2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Школе: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язык. Проходной балл – 36 баллов</w:t>
      </w:r>
    </w:p>
    <w:p w:rsidR="00F12B20" w:rsidRDefault="00B93E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17. Результаты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921"/>
        <w:gridCol w:w="1560"/>
        <w:gridCol w:w="1201"/>
        <w:gridCol w:w="2416"/>
        <w:gridCol w:w="1204"/>
      </w:tblGrid>
      <w:tr w:rsidR="00F12B20" w:rsidTr="00CC2AC3">
        <w:trPr>
          <w:trHeight w:val="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 в ЕГЭ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B3584B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B358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F12B20" w:rsidRPr="00B3584B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F12B20" w:rsidTr="00CC2AC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  <w:p w:rsidR="00F12B20" w:rsidRPr="00996DCD" w:rsidRDefault="00996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Рамазанова Рабият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Залимхановна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996DCD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Бадиева Асият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20" w:rsidTr="00CC2AC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11 </w:t>
            </w:r>
            <w:r w:rsidR="00996D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12B20" w:rsidRPr="00996DCD" w:rsidRDefault="00996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Алтухова Вера Андреевна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93E2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996DCD" w:rsidRDefault="00996D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Пискунова Диана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B20" w:rsidTr="00CC2AC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B93E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CC2AC3" w:rsidRDefault="00CC2AC3" w:rsidP="00CC2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Pr="00CC2AC3" w:rsidRDefault="00CC2AC3" w:rsidP="00CC2A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 w:rsidP="00CC2A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CC2A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B20" w:rsidRDefault="00F12B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процентов, средний балл – 85 процентов, что выше результатов предыдущего года на 3 процента.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 были проведены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3541A1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</w:t>
      </w:r>
      <w:r w:rsidR="00456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</w:t>
      </w:r>
      <w:r w:rsidR="0045626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45626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 высокий объем участия.</w:t>
      </w:r>
      <w:r w:rsidR="003541A1"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</w:t>
      </w:r>
      <w:r w:rsidR="00456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</w:t>
      </w:r>
      <w:r w:rsidR="003541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 202</w:t>
      </w:r>
      <w:r w:rsidR="0045626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лицее».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анкетирования показывают положительную/отрицательную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 окончании 2019–2020 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по вопросам роли родителей в создании необходимых условий для обучения учащихся в случае временного их перевода на обучение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дистанционных и электронных форм.</w:t>
      </w:r>
    </w:p>
    <w:p w:rsidR="00F12B20" w:rsidRPr="00B3584B" w:rsidRDefault="00F12B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B20" w:rsidRPr="00B3584B" w:rsidRDefault="00B93E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12B20" w:rsidRPr="00B3584B" w:rsidRDefault="00B93E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12B20" w:rsidRPr="00B3584B" w:rsidRDefault="00B93E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12B20" w:rsidRDefault="00B93E2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1A1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48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в том числе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3541A1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>внешних совместителей</w:t>
      </w:r>
      <w:r w:rsidR="003541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Анализ мероприятий, которые проведены в Школе в 202</w:t>
      </w:r>
      <w:r w:rsidR="008C249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bookmarkStart w:id="0" w:name="_GoBack"/>
      <w:bookmarkEnd w:id="0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школы один раз в плане работы отразило вопрос о новых подходах к аттестации, а методические объединения учителей иностранных языков и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 рассмотрели нововведения в общих чертах.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Для понимания ситуации в Школе было проведено исследование, результаты которого демонстрируют, что 24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 основной и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 средней школы, а также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 считают, что им не хватает компетенций для подготовки к дистанционным занятиям. 18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 основной и 24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– средней школы, а также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полагают, что им недостаточно компетенций для применения дистанционных инструментов при реализации программ (см. гистограмму). 65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отметили, что ранее не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практиковали такую форму обучения и у них не было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никакого опыта для ее реализации.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данных по совершенствованию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</w:r>
    </w:p>
    <w:p w:rsidR="00F12B20" w:rsidRPr="00B3584B" w:rsidRDefault="00F12B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B20" w:rsidRPr="00B3584B" w:rsidRDefault="00F12B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B20" w:rsidRDefault="00B93E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IX. ОЦЕНКА МАТЕРИАЛЬНО-ТЕХНИЧЕСКОЙ БАЗЫ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541A1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достаточной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кабинетов 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</w:t>
      </w:r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</w:t>
      </w:r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96DCD" w:rsidRPr="00B3584B">
        <w:rPr>
          <w:rFonts w:hAnsi="Times New Roman" w:cs="Times New Roman"/>
          <w:color w:val="000000"/>
          <w:sz w:val="24"/>
          <w:szCs w:val="24"/>
          <w:lang w:val="ru-RU"/>
        </w:rPr>
        <w:t>В отдельном помещении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 образовательных онлайн-платформ, доступ к интернету и пр. При этом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формате. 35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F12B20" w:rsidRPr="00B3584B" w:rsidRDefault="00B93E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584B">
        <w:rPr>
          <w:rFonts w:hAnsi="Times New Roman"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996DCD" w:rsidRPr="00B3584B" w:rsidRDefault="00996D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96DCD" w:rsidRPr="00B3584B" w:rsidSect="00B93E2E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01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E4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B1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F7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86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F1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25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31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C2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64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D0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71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B7E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22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2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37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27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F2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44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C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33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4"/>
  </w:num>
  <w:num w:numId="18">
    <w:abstractNumId w:val="19"/>
  </w:num>
  <w:num w:numId="19">
    <w:abstractNumId w:val="20"/>
  </w:num>
  <w:num w:numId="20">
    <w:abstractNumId w:val="18"/>
  </w:num>
  <w:num w:numId="21">
    <w:abstractNumId w:val="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F32"/>
    <w:rsid w:val="00205DE4"/>
    <w:rsid w:val="002D33B1"/>
    <w:rsid w:val="002D3591"/>
    <w:rsid w:val="003514A0"/>
    <w:rsid w:val="003541A1"/>
    <w:rsid w:val="00456265"/>
    <w:rsid w:val="004F7E17"/>
    <w:rsid w:val="005A05CE"/>
    <w:rsid w:val="00653AF6"/>
    <w:rsid w:val="007A18E6"/>
    <w:rsid w:val="008C2491"/>
    <w:rsid w:val="00996DCD"/>
    <w:rsid w:val="00A361BB"/>
    <w:rsid w:val="00B3584B"/>
    <w:rsid w:val="00B667CE"/>
    <w:rsid w:val="00B73A5A"/>
    <w:rsid w:val="00B93E2E"/>
    <w:rsid w:val="00CC2AC3"/>
    <w:rsid w:val="00CC3073"/>
    <w:rsid w:val="00E438A1"/>
    <w:rsid w:val="00F01E19"/>
    <w:rsid w:val="00F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3E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3E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usosh-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dc:description>Подготовлено экспертами Актион-МЦФЭР</dc:description>
  <cp:lastModifiedBy>Патимат</cp:lastModifiedBy>
  <cp:revision>2</cp:revision>
  <dcterms:created xsi:type="dcterms:W3CDTF">2022-03-21T06:37:00Z</dcterms:created>
  <dcterms:modified xsi:type="dcterms:W3CDTF">2022-03-21T06:37:00Z</dcterms:modified>
</cp:coreProperties>
</file>