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2E" w:rsidRPr="00B93E2E" w:rsidRDefault="00B93E2E" w:rsidP="00B93E2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val="ru-RU" w:eastAsia="ru-RU"/>
        </w:rPr>
        <w:drawing>
          <wp:inline distT="0" distB="0" distL="0" distR="0" wp14:anchorId="7AB2B9FB" wp14:editId="3595BD2F">
            <wp:extent cx="985520" cy="99758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2E" w:rsidRPr="00B3584B" w:rsidRDefault="00B93E2E" w:rsidP="00B93E2E">
      <w:pPr>
        <w:spacing w:after="0"/>
        <w:jc w:val="center"/>
        <w:rPr>
          <w:rFonts w:ascii="Book Antiqua" w:hAnsi="Book Antiqua"/>
          <w:b/>
          <w:sz w:val="24"/>
          <w:lang w:val="ru-RU"/>
        </w:rPr>
      </w:pPr>
      <w:r w:rsidRPr="00B3584B">
        <w:rPr>
          <w:rFonts w:ascii="Book Antiqua" w:hAnsi="Book Antiqua"/>
          <w:b/>
          <w:sz w:val="24"/>
          <w:lang w:val="ru-RU"/>
        </w:rPr>
        <w:t>РЕСПУБЛИКА ДАГЕСТАН</w:t>
      </w:r>
    </w:p>
    <w:p w:rsidR="00B93E2E" w:rsidRPr="00B3584B" w:rsidRDefault="00B93E2E" w:rsidP="00B93E2E">
      <w:pPr>
        <w:spacing w:after="0"/>
        <w:jc w:val="center"/>
        <w:rPr>
          <w:rFonts w:ascii="Book Antiqua" w:hAnsi="Book Antiqua"/>
          <w:b/>
          <w:sz w:val="24"/>
          <w:lang w:val="ru-RU"/>
        </w:rPr>
      </w:pPr>
      <w:r w:rsidRPr="00B3584B">
        <w:rPr>
          <w:rFonts w:ascii="Book Antiqua" w:hAnsi="Book Antiqua"/>
          <w:b/>
          <w:sz w:val="24"/>
          <w:lang w:val="ru-RU"/>
        </w:rPr>
        <w:t>МУНИЦИПАЛЬНОЕ КАЗЕННОЕ ОБЩЕОБРАЗОВАТЕЛЬНОЕ УЧРЕЖДЕНИЕ</w:t>
      </w:r>
    </w:p>
    <w:p w:rsidR="00B93E2E" w:rsidRDefault="00B93E2E" w:rsidP="00B93E2E">
      <w:pPr>
        <w:spacing w:after="0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«СРЕДНЯЯ ОБЩЕОБРАЗОВАТЕЛЬНАЯ ШКОЛА №4»</w:t>
      </w:r>
    </w:p>
    <w:p w:rsidR="00B93E2E" w:rsidRDefault="00B93E2E" w:rsidP="00B93E2E">
      <w:pPr>
        <w:spacing w:after="0"/>
        <w:rPr>
          <w:rFonts w:ascii="Book Antiqua" w:hAnsi="Book Antiqua"/>
          <w:b/>
          <w:sz w:val="24"/>
        </w:rPr>
      </w:pPr>
    </w:p>
    <w:p w:rsidR="00B93E2E" w:rsidRPr="00B3584B" w:rsidRDefault="00B93E2E" w:rsidP="00B93E2E">
      <w:pPr>
        <w:spacing w:before="0" w:beforeAutospacing="0" w:after="0"/>
        <w:rPr>
          <w:rFonts w:ascii="Book Antiqua" w:hAnsi="Book Antiqua"/>
          <w:b/>
          <w:sz w:val="24"/>
          <w:lang w:val="ru-RU"/>
        </w:rPr>
      </w:pPr>
      <w:r w:rsidRPr="00B3584B">
        <w:rPr>
          <w:rFonts w:ascii="Book Antiqua" w:hAnsi="Book Antiqua"/>
          <w:b/>
          <w:sz w:val="24"/>
          <w:lang w:val="ru-RU"/>
        </w:rPr>
        <w:t>368890, г. Южно–Сухокумск                                        тел./факс: 8(87276) 2-12-72</w:t>
      </w:r>
    </w:p>
    <w:p w:rsidR="00B93E2E" w:rsidRPr="00B3584B" w:rsidRDefault="00B93E2E" w:rsidP="00B93E2E">
      <w:pPr>
        <w:tabs>
          <w:tab w:val="left" w:pos="5130"/>
        </w:tabs>
        <w:spacing w:before="0" w:beforeAutospacing="0" w:after="0"/>
        <w:ind w:right="424"/>
        <w:rPr>
          <w:rFonts w:ascii="Book Antiqua" w:hAnsi="Book Antiqua"/>
          <w:b/>
          <w:color w:val="000000" w:themeColor="text1"/>
          <w:sz w:val="24"/>
          <w:u w:val="single"/>
          <w:lang w:val="ru-RU"/>
        </w:rPr>
      </w:pPr>
      <w:r w:rsidRPr="00B3584B">
        <w:rPr>
          <w:rFonts w:ascii="Book Antiqua" w:hAnsi="Book Antiqua"/>
          <w:b/>
          <w:sz w:val="24"/>
          <w:u w:val="single"/>
          <w:lang w:val="ru-RU"/>
        </w:rPr>
        <w:t xml:space="preserve">ул. Комарова 8                                                </w:t>
      </w:r>
      <w:r w:rsidRPr="00B3584B">
        <w:rPr>
          <w:rFonts w:ascii="Book Antiqua" w:hAnsi="Book Antiqua"/>
          <w:sz w:val="24"/>
          <w:u w:val="single"/>
          <w:lang w:val="ru-RU"/>
        </w:rPr>
        <w:t xml:space="preserve">       </w:t>
      </w:r>
      <w:r w:rsidRPr="00B3584B">
        <w:rPr>
          <w:rFonts w:ascii="Book Antiqua" w:hAnsi="Book Antiqua"/>
          <w:b/>
          <w:sz w:val="24"/>
          <w:u w:val="single"/>
          <w:lang w:val="ru-RU"/>
        </w:rPr>
        <w:t xml:space="preserve">       </w:t>
      </w:r>
      <w:r>
        <w:rPr>
          <w:rFonts w:ascii="Book Antiqua" w:hAnsi="Book Antiqua"/>
          <w:b/>
          <w:sz w:val="24"/>
          <w:u w:val="single"/>
        </w:rPr>
        <w:t>e</w:t>
      </w:r>
      <w:r w:rsidRPr="00B3584B">
        <w:rPr>
          <w:rFonts w:ascii="Book Antiqua" w:hAnsi="Book Antiqua"/>
          <w:b/>
          <w:sz w:val="24"/>
          <w:u w:val="single"/>
          <w:lang w:val="ru-RU"/>
        </w:rPr>
        <w:t>-</w:t>
      </w:r>
      <w:r>
        <w:rPr>
          <w:rFonts w:ascii="Book Antiqua" w:hAnsi="Book Antiqua"/>
          <w:b/>
          <w:sz w:val="24"/>
          <w:u w:val="single"/>
        </w:rPr>
        <w:t>mail</w:t>
      </w:r>
      <w:r w:rsidRPr="00B3584B">
        <w:rPr>
          <w:rFonts w:ascii="Book Antiqua" w:hAnsi="Book Antiqua"/>
          <w:b/>
          <w:sz w:val="24"/>
          <w:u w:val="single"/>
          <w:lang w:val="ru-RU"/>
        </w:rPr>
        <w:t xml:space="preserve">: </w:t>
      </w:r>
      <w:hyperlink r:id="rId7" w:history="1">
        <w:r>
          <w:rPr>
            <w:rStyle w:val="a3"/>
            <w:rFonts w:ascii="Book Antiqua" w:hAnsi="Book Antiqua"/>
            <w:color w:val="000000" w:themeColor="text1"/>
            <w:sz w:val="24"/>
          </w:rPr>
          <w:t>mkousosh</w:t>
        </w:r>
        <w:r w:rsidRPr="00B3584B">
          <w:rPr>
            <w:rStyle w:val="a3"/>
            <w:rFonts w:ascii="Book Antiqua" w:hAnsi="Book Antiqua"/>
            <w:color w:val="000000" w:themeColor="text1"/>
            <w:sz w:val="24"/>
            <w:lang w:val="ru-RU"/>
          </w:rPr>
          <w:t>-4@</w:t>
        </w:r>
        <w:r>
          <w:rPr>
            <w:rStyle w:val="a3"/>
            <w:rFonts w:ascii="Book Antiqua" w:hAnsi="Book Antiqua"/>
            <w:color w:val="000000" w:themeColor="text1"/>
            <w:sz w:val="24"/>
          </w:rPr>
          <w:t>mail</w:t>
        </w:r>
        <w:r w:rsidRPr="00B3584B">
          <w:rPr>
            <w:rStyle w:val="a3"/>
            <w:rFonts w:ascii="Book Antiqua" w:hAnsi="Book Antiqua"/>
            <w:color w:val="000000" w:themeColor="text1"/>
            <w:sz w:val="24"/>
            <w:lang w:val="ru-RU"/>
          </w:rPr>
          <w:t>.</w:t>
        </w:r>
        <w:proofErr w:type="spellStart"/>
        <w:r>
          <w:rPr>
            <w:rStyle w:val="a3"/>
            <w:rFonts w:ascii="Book Antiqua" w:hAnsi="Book Antiqua"/>
            <w:color w:val="000000" w:themeColor="text1"/>
            <w:sz w:val="24"/>
          </w:rPr>
          <w:t>ru</w:t>
        </w:r>
        <w:proofErr w:type="spellEnd"/>
      </w:hyperlink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28"/>
        <w:gridCol w:w="1550"/>
        <w:gridCol w:w="2271"/>
        <w:gridCol w:w="1978"/>
      </w:tblGrid>
      <w:tr w:rsidR="00F12B20">
        <w:tc>
          <w:tcPr>
            <w:tcW w:w="39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F12B20">
        <w:tc>
          <w:tcPr>
            <w:tcW w:w="39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МКОУ </w:t>
            </w:r>
            <w:r w:rsidR="007A18E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«СОШ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4»</w:t>
            </w:r>
          </w:p>
        </w:tc>
      </w:tr>
      <w:tr w:rsidR="00F12B20">
        <w:tc>
          <w:tcPr>
            <w:tcW w:w="39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7A18E6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7A18E6">
              <w:rPr>
                <w:rFonts w:hAnsi="Times New Roman" w:cs="Times New Roman"/>
                <w:color w:val="000000"/>
                <w:sz w:val="24"/>
                <w:szCs w:val="24"/>
              </w:rPr>
              <w:t>“</w:t>
            </w:r>
            <w:r w:rsidR="007A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4</w:t>
            </w:r>
            <w:r w:rsidR="007A1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93E2E" w:rsidRDefault="00B93E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34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Р.Р.Сулейманов</w:t>
            </w:r>
          </w:p>
        </w:tc>
      </w:tr>
      <w:tr w:rsidR="00F12B20">
        <w:tc>
          <w:tcPr>
            <w:tcW w:w="39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 w:rsidP="00B358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7A18E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</w:t>
            </w:r>
            <w:r w:rsidR="007A18E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7A18E6" w:rsidP="00B358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  <w:r w:rsidRPr="00B3584B">
        <w:rPr>
          <w:lang w:val="ru-RU"/>
        </w:rPr>
        <w:br/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результатах </w:t>
      </w:r>
      <w:proofErr w:type="spellStart"/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B3584B">
        <w:rPr>
          <w:lang w:val="ru-RU"/>
        </w:rPr>
        <w:br/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казённого общеобразовательного учреждения «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Средняя общеобразовательная </w:t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 № 4»</w:t>
      </w:r>
      <w:r w:rsidRPr="00B3584B">
        <w:rPr>
          <w:lang w:val="ru-RU"/>
        </w:rPr>
        <w:br/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202</w:t>
      </w:r>
      <w:r w:rsid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</w:t>
      </w:r>
    </w:p>
    <w:p w:rsidR="00F12B20" w:rsidRPr="00B3584B" w:rsidRDefault="00F12B2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2B20" w:rsidRPr="00B3584B" w:rsidRDefault="00B93E2E" w:rsidP="00CC2AC3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B3584B">
        <w:rPr>
          <w:b/>
          <w:bCs/>
          <w:color w:val="252525"/>
          <w:spacing w:val="-2"/>
          <w:sz w:val="48"/>
          <w:szCs w:val="48"/>
          <w:lang w:val="ru-RU"/>
        </w:rPr>
        <w:t>АНАЛИТИЧЕСКАЯ ЧАСТЬ</w:t>
      </w:r>
    </w:p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5"/>
        <w:gridCol w:w="5512"/>
      </w:tblGrid>
      <w:tr w:rsidR="00F12B20" w:rsidRPr="00B3584B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 w:rsidP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казённое общеобразовательное учреждение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Средняя общеобразовательная 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(МКОУ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 4)</w:t>
            </w:r>
          </w:p>
        </w:tc>
      </w:tr>
      <w:tr w:rsidR="00F12B20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Рамазан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Раидинович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Сулейманов</w:t>
            </w:r>
            <w:proofErr w:type="spellEnd"/>
          </w:p>
        </w:tc>
      </w:tr>
      <w:tr w:rsidR="00F12B20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368890,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РД,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Южно-Сухокумск,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д.8</w:t>
            </w:r>
          </w:p>
        </w:tc>
      </w:tr>
      <w:tr w:rsidR="00F12B20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887) 276-2-12-72</w:t>
            </w:r>
          </w:p>
        </w:tc>
      </w:tr>
      <w:tr w:rsidR="00F12B20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mkousosh-4@mail.ru</w:t>
            </w:r>
          </w:p>
        </w:tc>
      </w:tr>
      <w:tr w:rsidR="00F12B20" w:rsidRPr="00B3584B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93E2E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ГО «город Южно-Сухокумск»</w:t>
            </w:r>
          </w:p>
        </w:tc>
      </w:tr>
      <w:tr w:rsidR="00F12B20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1986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F12B20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Лицензия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B667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24.12.2014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05ЛО</w:t>
            </w:r>
            <w:r w:rsidR="00B667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B667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0002218</w:t>
            </w:r>
          </w:p>
        </w:tc>
      </w:tr>
      <w:tr w:rsidR="00F12B20" w:rsidRPr="00B3584B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 w:rsidP="00B667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B667CE"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10.07.2015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серия</w:t>
            </w:r>
            <w:r w:rsidR="00B667CE"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АО</w:t>
            </w:r>
            <w:proofErr w:type="gramStart"/>
            <w:r w:rsidR="00B667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000</w:t>
            </w:r>
            <w:r w:rsidR="00B667CE"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1209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срок действия: до</w:t>
            </w:r>
            <w:r w:rsidR="00B667CE"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667CE"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июня 2025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МКОУ «СОШ № 4» (далее – Школа) является реализация общеобразовательных программ: </w:t>
      </w:r>
    </w:p>
    <w:p w:rsidR="00F12B20" w:rsidRPr="00B3584B" w:rsidRDefault="00B93E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F12B20" w:rsidRPr="00B3584B" w:rsidRDefault="00B93E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F12B20" w:rsidRPr="00B3584B" w:rsidRDefault="00B93E2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Также Школа реализует образовательные программы дополнительного образования детей и взрослых.</w:t>
      </w:r>
    </w:p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ОСОБЕННОСТИ УПРАВЛЕНИЯ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8"/>
        <w:gridCol w:w="6598"/>
      </w:tblGrid>
      <w:tr w:rsidR="00F12B20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F12B20" w:rsidRPr="00B3584B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F12B20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F12B20" w:rsidRDefault="00B93E2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F12B20" w:rsidRDefault="00B93E2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F12B20" w:rsidRDefault="00B93E2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F12B20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F12B20" w:rsidRDefault="00B93E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12B20" w:rsidRDefault="00B93E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F12B20" w:rsidRDefault="00B93E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F12B20" w:rsidRPr="00B3584B" w:rsidRDefault="00B93E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F12B20" w:rsidRPr="00B3584B" w:rsidRDefault="00B93E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F12B20" w:rsidRPr="00B3584B" w:rsidRDefault="00B93E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F12B20" w:rsidRDefault="00B93E2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12B20" w:rsidRPr="00B3584B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Реализует право работников участвовать в управлении 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организацией, в том числе:</w:t>
            </w:r>
          </w:p>
          <w:p w:rsidR="00F12B20" w:rsidRPr="00B3584B" w:rsidRDefault="00B93E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F12B20" w:rsidRPr="00B3584B" w:rsidRDefault="00B93E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F12B20" w:rsidRPr="00B3584B" w:rsidRDefault="00B93E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F12B20" w:rsidRPr="00B3584B" w:rsidRDefault="00B93E2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Для осуществления учебно-методической работы в Школе создано </w:t>
      </w:r>
      <w:r w:rsidR="00B667CE" w:rsidRPr="00B3584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методических </w:t>
      </w:r>
      <w:r w:rsidR="00B667CE" w:rsidRPr="00B3584B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667CE" w:rsidRPr="00B3584B" w:rsidRDefault="00B667C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учителей русского языка и литературы;</w:t>
      </w:r>
    </w:p>
    <w:p w:rsidR="00B667CE" w:rsidRPr="00B667CE" w:rsidRDefault="00B667C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учителей истории и обществознания;</w:t>
      </w:r>
    </w:p>
    <w:p w:rsidR="00F12B20" w:rsidRPr="00B667CE" w:rsidRDefault="00B667CE" w:rsidP="00B667C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учителей английского языка</w:t>
      </w:r>
    </w:p>
    <w:p w:rsidR="00B667CE" w:rsidRDefault="00B93E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естественно-научных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67CE">
        <w:rPr>
          <w:rFonts w:hAnsi="Times New Roman" w:cs="Times New Roman"/>
          <w:color w:val="000000"/>
          <w:sz w:val="24"/>
          <w:szCs w:val="24"/>
        </w:rPr>
        <w:t>дисциплин</w:t>
      </w:r>
      <w:proofErr w:type="spellEnd"/>
      <w:r w:rsidR="00B667CE">
        <w:rPr>
          <w:rFonts w:hAnsi="Times New Roman" w:cs="Times New Roman"/>
          <w:color w:val="000000"/>
          <w:sz w:val="24"/>
          <w:szCs w:val="24"/>
        </w:rPr>
        <w:t>;</w:t>
      </w:r>
    </w:p>
    <w:p w:rsidR="00F12B20" w:rsidRDefault="00B93E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математических дисциплин;</w:t>
      </w:r>
    </w:p>
    <w:p w:rsidR="00F12B20" w:rsidRDefault="00B93E2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объединение педагогов начального образования.</w:t>
      </w:r>
    </w:p>
    <w:p w:rsidR="00F12B20" w:rsidRDefault="00F12B20">
      <w:pPr>
        <w:rPr>
          <w:rFonts w:hAnsi="Times New Roman" w:cs="Times New Roman"/>
          <w:color w:val="000000"/>
          <w:sz w:val="24"/>
          <w:szCs w:val="24"/>
        </w:rPr>
      </w:pPr>
    </w:p>
    <w:p w:rsidR="00F12B20" w:rsidRDefault="00B93E2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 ОЦЕНКА ОБРАЗОВАТЕЛЬНОЙ ДЕЯТЕЛЬНОСТИ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 образования, включая учебные планы, календарные учебные графики, расписанием занятий.</w:t>
      </w:r>
      <w:proofErr w:type="gramEnd"/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Обучающиеся 11 классов завершают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основной общеобразовательной программе среднего общего образования по </w:t>
      </w:r>
      <w:r w:rsidR="00B667CE" w:rsidRPr="00B3584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ГОС ОО.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B667CE" w:rsidRPr="00B3584B" w:rsidRDefault="00B667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2B20" w:rsidRDefault="00B93E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Режим образовательной деятельности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44"/>
        <w:gridCol w:w="1763"/>
        <w:gridCol w:w="3000"/>
        <w:gridCol w:w="1734"/>
        <w:gridCol w:w="1586"/>
      </w:tblGrid>
      <w:tr w:rsidR="00F12B20" w:rsidRPr="00B3584B" w:rsidTr="00B667CE">
        <w:trPr>
          <w:trHeight w:val="1046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Продолжительность урока (мин.)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F12B20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667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 режим:</w:t>
            </w:r>
          </w:p>
          <w:p w:rsidR="00F12B20" w:rsidRDefault="00B93E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 w:rsidR="00F12B20" w:rsidRDefault="00B667C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667CE" w:rsidRDefault="00B667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12B20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667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667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 8 ч</w:t>
      </w:r>
      <w:r w:rsidR="00B667CE"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0 мин.</w:t>
      </w:r>
    </w:p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</w:t>
      </w:r>
      <w:proofErr w:type="spellStart"/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мерах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В 2020 году на сайте ОО был создан специальный раздел, посвященный работе Школы в новых особых условиях. Частью этого раздела стал перечень документов, регламентирующих функционирование ОО в условиях </w:t>
      </w:r>
      <w:proofErr w:type="spell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инфекции. В перечень вошли документы вышестоящих организаций и ведомств, а также новые и измененные внутренние локальные нормативные акты Школы.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3. Перечень документов, регламентирующий функционирование Школы в условиях </w:t>
      </w:r>
      <w:proofErr w:type="spellStart"/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коронавирусной</w:t>
      </w:r>
      <w:proofErr w:type="spellEnd"/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инфекции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51"/>
        <w:gridCol w:w="3282"/>
        <w:gridCol w:w="1739"/>
        <w:gridCol w:w="2755"/>
      </w:tblGrid>
      <w:tr w:rsidR="00F12B20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локального акта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Ссылка на сайт ОО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F12B20" w:rsidRPr="00B3584B">
        <w:trPr>
          <w:trHeight w:val="3"/>
        </w:trPr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 w:rsidP="00B358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B358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Рекомендации </w:t>
            </w:r>
            <w:proofErr w:type="spellStart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«Об организации образовательного процесса в 2019/20 учебном году в условиях профилактики и предотвращения распространения новой </w:t>
            </w:r>
            <w:proofErr w:type="spellStart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коронавирусной</w:t>
            </w:r>
            <w:proofErr w:type="spellEnd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инфекции в организациях, реализующих основные образовательные программы дошкольного и общего образования» (приложение 1 к письму </w:t>
            </w:r>
            <w:proofErr w:type="spellStart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08.04.2020 № ГД-161/04)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2B20" w:rsidRPr="00B3584B">
        <w:trPr>
          <w:trHeight w:val="3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Методические рекомендации о реализации образовательных программ 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</w:t>
            </w:r>
            <w:proofErr w:type="spellStart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19.03.2020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2B20" w:rsidRPr="00B3584B">
        <w:trPr>
          <w:trHeight w:val="3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 в организационный раздел в части учебного плана и календарного графика.</w:t>
            </w:r>
          </w:p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 пункт о возможности применения электронного обучения и дистанционных образовательных технологий.</w:t>
            </w:r>
          </w:p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разделы «Система </w:t>
            </w:r>
            <w:proofErr w:type="gramStart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 в части корректировки содержания рабочих программ</w:t>
            </w:r>
          </w:p>
        </w:tc>
      </w:tr>
      <w:tr w:rsidR="00F12B20" w:rsidRPr="00B3584B">
        <w:trPr>
          <w:trHeight w:val="3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об электронном обучении и использовании дистанционных образовательных технологий при реализации образовательных программ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2B20" w:rsidRPr="00B3584B">
        <w:trPr>
          <w:trHeight w:val="3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текущем контроле и промежуточной аттестации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2B20" w:rsidRPr="00B3584B">
        <w:trPr>
          <w:trHeight w:val="3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 переходе на дистанционное обучение в 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связи с </w:t>
            </w:r>
            <w:proofErr w:type="spellStart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коронавирусом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2B20" w:rsidRPr="00B3584B">
        <w:trPr>
          <w:trHeight w:val="3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 внесении изменений в ООП НОО </w:t>
            </w:r>
            <w:proofErr w:type="gramStart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связи с пандемией </w:t>
            </w:r>
            <w:proofErr w:type="spellStart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коронавируса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2B20" w:rsidRPr="00B3584B">
        <w:trPr>
          <w:trHeight w:val="3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преодолении отставания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учебным предметам в связи с пандемией </w:t>
            </w:r>
            <w:proofErr w:type="spellStart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коронавируса</w:t>
            </w:r>
            <w:proofErr w:type="spellEnd"/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2B20" w:rsidRPr="00B3584B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 w:rsidP="00B358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B358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 w:rsidP="00B667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об организации работы </w:t>
            </w:r>
            <w:r w:rsidR="00B667CE"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B667CE"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B667CE"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по требованиям СП 3.1/2.4.3598–20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2B20" w:rsidRPr="00B3584B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организованном начале 2020/2021 учебного года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2B20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4. Общая численность </w:t>
      </w:r>
      <w:proofErr w:type="gramStart"/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осваивающих образовательные программы в 202</w:t>
      </w:r>
      <w:r w:rsid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48"/>
        <w:gridCol w:w="2978"/>
      </w:tblGrid>
      <w:tr w:rsidR="00F12B2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F12B2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667CE" w:rsidRDefault="00B667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245</w:t>
            </w:r>
          </w:p>
        </w:tc>
      </w:tr>
      <w:tr w:rsidR="00F12B2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667CE" w:rsidRDefault="00B667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271</w:t>
            </w:r>
          </w:p>
        </w:tc>
      </w:tr>
      <w:tr w:rsidR="00F12B2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667CE" w:rsidRDefault="00B667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</w:tbl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Всего в 2020 году в образовательной организации получали образование</w:t>
      </w:r>
      <w:r w:rsidR="00B667CE"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6F32">
        <w:rPr>
          <w:rFonts w:hAnsi="Times New Roman" w:cs="Times New Roman"/>
          <w:color w:val="000000"/>
          <w:sz w:val="24"/>
          <w:szCs w:val="24"/>
          <w:lang w:val="ru-RU"/>
        </w:rPr>
        <w:t xml:space="preserve">534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F12B20" w:rsidRPr="00B3584B" w:rsidRDefault="00B93E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основная образовательная программа начального общего образования;</w:t>
      </w:r>
    </w:p>
    <w:p w:rsidR="00F12B20" w:rsidRPr="00B3584B" w:rsidRDefault="00B93E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основная образовательная программа основного общего образования;</w:t>
      </w:r>
    </w:p>
    <w:p w:rsidR="00F12B20" w:rsidRPr="00B3584B" w:rsidRDefault="00B93E2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программа среднего общего образования.</w:t>
      </w:r>
    </w:p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ОО в 20</w:t>
      </w:r>
      <w:r w:rsidR="00B3584B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–202</w:t>
      </w:r>
      <w:r w:rsidR="00B3584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6F32" w:rsidRPr="00B3584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работала по ФГОС СОО. Учащиеся 10-х и 11-х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классов обучались по физико-</w:t>
      </w:r>
      <w:r w:rsidR="00036F32" w:rsidRPr="00B3584B">
        <w:rPr>
          <w:rFonts w:hAnsi="Times New Roman" w:cs="Times New Roman"/>
          <w:color w:val="000000"/>
          <w:sz w:val="24"/>
          <w:szCs w:val="24"/>
          <w:lang w:val="ru-RU"/>
        </w:rPr>
        <w:t>математическому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036F32" w:rsidRPr="00B3584B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по учебному плану </w:t>
      </w:r>
      <w:r w:rsidR="00036F32" w:rsidRPr="00B3584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ГОС, БУП 2004. В целях </w:t>
      </w:r>
      <w:proofErr w:type="spell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профилизации</w:t>
      </w:r>
      <w:proofErr w:type="spell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предложены для изучения на углубленном уровне предметы: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5. Профили и предметы на углубленном уровне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4"/>
        <w:gridCol w:w="3141"/>
        <w:gridCol w:w="3052"/>
      </w:tblGrid>
      <w:tr w:rsidR="00F12B20" w:rsidTr="00036F32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Профильные предметы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элективных курсов*</w:t>
            </w:r>
          </w:p>
        </w:tc>
      </w:tr>
      <w:tr w:rsidR="00F12B20" w:rsidTr="00036F32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="00036F32">
              <w:rPr>
                <w:rFonts w:hAnsi="Times New Roman" w:cs="Times New Roman"/>
                <w:color w:val="000000"/>
                <w:sz w:val="24"/>
                <w:szCs w:val="24"/>
              </w:rPr>
              <w:t>«П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Физико-</w:t>
            </w:r>
            <w:r w:rsidR="00036F32"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математический</w:t>
            </w:r>
            <w:proofErr w:type="spellEnd"/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Математика. Физика. Химия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036F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12B20" w:rsidTr="00036F32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="00036F32">
              <w:rPr>
                <w:rFonts w:hAnsi="Times New Roman" w:cs="Times New Roman"/>
                <w:color w:val="000000"/>
                <w:sz w:val="24"/>
                <w:szCs w:val="24"/>
              </w:rPr>
              <w:t>«П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Физико-химический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Математика. Химия. Физика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036F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F12B20" w:rsidRDefault="00B93E2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Обучающиеся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ограниченными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возможностями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здоровья</w:t>
      </w:r>
    </w:p>
    <w:p w:rsidR="00F12B20" w:rsidRDefault="00B93E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 реализует следующие АООП:</w:t>
      </w:r>
    </w:p>
    <w:p w:rsidR="00F12B20" w:rsidRPr="00B3584B" w:rsidRDefault="00B93E2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обучающихся с тяжелыми нарушениями </w:t>
      </w:r>
      <w:r w:rsidR="00036F32" w:rsidRPr="00B3584B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="00036F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36F32" w:rsidRPr="00B3584B">
        <w:rPr>
          <w:rFonts w:hAnsi="Times New Roman" w:cs="Times New Roman"/>
          <w:color w:val="000000"/>
          <w:sz w:val="24"/>
          <w:szCs w:val="24"/>
          <w:lang w:val="ru-RU"/>
        </w:rPr>
        <w:t>рно-двигательного аппарата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(вариант</w:t>
      </w:r>
      <w:r w:rsidR="00036F32"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5.2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Весной 2020 года педагогом-психологом была проведена работа по адаптации ученика с ОВЗ в период дистанционного обучения. Проведена работа с родителями и педагогами.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На начало 2020/21 учебного года дети с ОВЗ в Школе не обучаются.</w:t>
      </w:r>
    </w:p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F12B20" w:rsidRDefault="00B93E2E">
      <w:pPr>
        <w:rPr>
          <w:rFonts w:hAnsi="Times New Roman" w:cs="Times New Roman"/>
          <w:color w:val="000000"/>
          <w:sz w:val="24"/>
          <w:szCs w:val="24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внеурочной деятельности соответствует требованиям ФГОС.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Структура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соответствии с ФГОС включает:</w:t>
      </w:r>
    </w:p>
    <w:p w:rsidR="00F12B20" w:rsidRPr="00B3584B" w:rsidRDefault="00B93E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курса внеурочной деятельности;</w:t>
      </w:r>
    </w:p>
    <w:p w:rsidR="00F12B20" w:rsidRPr="00B3584B" w:rsidRDefault="00B93E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внеурочной деятельности с указанием форм организации и видов деятельности;</w:t>
      </w:r>
    </w:p>
    <w:p w:rsidR="00F12B20" w:rsidRDefault="00B93E2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тематическое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36F32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Все программы по внеурочной деятельности имеют аннотации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кружки, секции</w:t>
      </w:r>
      <w:r w:rsidR="00036F32" w:rsidRPr="00B358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Реализация программ внеурочной деятельности в период временных ограничений, связанных с эпидемиологической ситуацией 2020 года, проводилась с использованием дистанционных образовательных технологий.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Весна 2020.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Все курсы внеурочной деятельности (кроме физкультурно-оздоровительного направления) реализовывались в дистанционном формате:</w:t>
      </w:r>
    </w:p>
    <w:p w:rsidR="00F12B20" w:rsidRPr="00B3584B" w:rsidRDefault="00B93E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были внесены изменения в положение о внеурочной деятельности, в рабочие программы курсов и скорректировано КТП;</w:t>
      </w:r>
    </w:p>
    <w:p w:rsidR="00F12B20" w:rsidRPr="00B3584B" w:rsidRDefault="00B93E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составлено расписание занятий в режиме онлайн на каждый учебный день в соответствии с образовательной программой и планом внеурочной деятельности по каждому курсу, предусматривая дифференциацию по классам и время проведения занятия не более 30 минут;</w:t>
      </w:r>
    </w:p>
    <w:p w:rsidR="00F12B20" w:rsidRPr="00B3584B" w:rsidRDefault="00B93E2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проводилось обязательное информирование обучающихся и их родителей об изменениях в планах внеурочной деятельности.</w:t>
      </w:r>
    </w:p>
    <w:p w:rsidR="00036F32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Осень 2020.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первой четверти 202</w:t>
      </w:r>
      <w:r w:rsidR="00B3584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–202</w:t>
      </w:r>
      <w:r w:rsidR="00B3584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 занятия по внеурочной деятельности проводились в традиционном очном формате. </w:t>
      </w:r>
    </w:p>
    <w:p w:rsidR="00036F32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В план внеурочной деятельности ОО были включены блоки курсов для обучающихся не только начальной, основной, но и средней школы</w:t>
      </w:r>
      <w:r w:rsidR="00036F3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выявленные проблемы не повлияли на качество организации внеурочной деятельности. Благодаря внесению необходимых изменений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учебный план по внеурочной деятельности выполнен в полном объеме, в основном удалось сохранить контингент учеников.</w:t>
      </w:r>
    </w:p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Школе осуществляется по следующим направлениям:</w:t>
      </w:r>
    </w:p>
    <w:p w:rsidR="00F12B20" w:rsidRDefault="00B93E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гражданско-патриотическое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12B20" w:rsidRDefault="00B93E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духовно-нравственное воспитание;</w:t>
      </w:r>
    </w:p>
    <w:p w:rsidR="00F12B20" w:rsidRDefault="00B93E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здоровьесберегающее воспитание;</w:t>
      </w:r>
    </w:p>
    <w:p w:rsidR="00F12B20" w:rsidRDefault="00B93E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трудовое воспитание;</w:t>
      </w:r>
    </w:p>
    <w:p w:rsidR="00F12B20" w:rsidRDefault="00B93E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интеллектуальное воспитание;</w:t>
      </w:r>
    </w:p>
    <w:p w:rsidR="00F12B20" w:rsidRDefault="00B93E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социокультурное воспитание;</w:t>
      </w:r>
    </w:p>
    <w:p w:rsidR="00F12B20" w:rsidRDefault="00B93E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эстетическое воспитание;</w:t>
      </w:r>
    </w:p>
    <w:p w:rsidR="00F12B20" w:rsidRDefault="00B93E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экологическое воспитание;</w:t>
      </w:r>
    </w:p>
    <w:p w:rsidR="00F12B20" w:rsidRPr="00B3584B" w:rsidRDefault="00B93E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правовое воспитание и культура безопасности;</w:t>
      </w:r>
    </w:p>
    <w:p w:rsidR="00F12B20" w:rsidRDefault="00B93E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12B20" w:rsidRDefault="00B93E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 родителями;</w:t>
      </w:r>
    </w:p>
    <w:p w:rsidR="00F12B20" w:rsidRPr="00B3584B" w:rsidRDefault="00B93E2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работа с учениками группы риска и их родителями.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2019/20 учебного года классными руководителями использовались различные формы работы с обучающимися и их родителями:</w:t>
      </w:r>
    </w:p>
    <w:p w:rsidR="00F12B20" w:rsidRDefault="00B93E2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F12B20" w:rsidRPr="00B3584B" w:rsidRDefault="00B93E2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участие в творческих конкурсах: конкурсы рисунков, фотоконкурсы, конкурс чтецов (дистанционно);</w:t>
      </w:r>
    </w:p>
    <w:p w:rsidR="00F12B20" w:rsidRPr="00B3584B" w:rsidRDefault="00B93E2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участие в интеллектуальных конкурсах, олимпиадах (дистанционно);</w:t>
      </w:r>
    </w:p>
    <w:p w:rsidR="00F12B20" w:rsidRPr="00B3584B" w:rsidRDefault="00B93E2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беседы с учащимися (дистанционно);</w:t>
      </w:r>
    </w:p>
    <w:p w:rsidR="00F12B20" w:rsidRPr="00B3584B" w:rsidRDefault="00B93E2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беседы с родителями (дистанционно);</w:t>
      </w:r>
    </w:p>
    <w:p w:rsidR="00F12B20" w:rsidRDefault="00B93E2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На начало 202</w:t>
      </w:r>
      <w:r w:rsidR="00B3584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B3584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 в Школе сформировано</w:t>
      </w:r>
      <w:r w:rsidR="00036F32"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proofErr w:type="gram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класса. Классными руководителями 1–11-х классов составлены годовые планы воспитательной работы с классами в соответствии с планом воспитательной работы Школы.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-19)"» массовые мероприятия в образовательных организациях запрещены до 01.01.2022. В сложившейся ситуации школьные и классные воспитательные мероприятия в сентябре и начале октября проводились классными руководителями в своих классах.</w:t>
      </w:r>
    </w:p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Дополнительное образование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Весна 2020.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Все программы дополнительного образования художественной, социально-педагогической, туристско-краеведческой,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и технической (кроме физкультурно-спортивного направления) направленности реализовывались в дистанционном формате:</w:t>
      </w:r>
    </w:p>
    <w:p w:rsidR="00F12B20" w:rsidRPr="00B3584B" w:rsidRDefault="00B93E2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были внесены изменения в положение о ДО, в рабочие программы курсов и скорректировано КТП;</w:t>
      </w:r>
      <w:proofErr w:type="gramEnd"/>
    </w:p>
    <w:p w:rsidR="00F12B20" w:rsidRPr="00B3584B" w:rsidRDefault="00B93E2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сформировано расписание занятий на каждый учебный день в соответствии с образовательной программой и программами дополнительного образования, предусматривая дифференциацию по классам и время проведения занятия не более 30 минут;</w:t>
      </w:r>
    </w:p>
    <w:p w:rsidR="00F12B20" w:rsidRPr="00B3584B" w:rsidRDefault="00B93E2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проводилось обязательное информирование обучающихся и их родителей об изменениях в программах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61BB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Осень 202</w:t>
      </w:r>
      <w:r w:rsidR="00CC30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первой четверти 202</w:t>
      </w:r>
      <w:r w:rsidR="00CC307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–202</w:t>
      </w:r>
      <w:r w:rsidR="00CC307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 занятия по программам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проводились в традиционном очном формате. 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благодаря внесению необходимых изменений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программы дополнительного образования выполнены в полном объеме, в основном удалось сохранить контингент учеников.</w:t>
      </w:r>
    </w:p>
    <w:p w:rsidR="00F12B20" w:rsidRPr="00B3584B" w:rsidRDefault="00B93E2E" w:rsidP="00A361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Данные проблемы повлияли на качество дополнительного образования, существенно повысив его.</w:t>
      </w:r>
    </w:p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В 2020 году ввиду особых условий промежуточная аттестация 9-х, 11-х классов проводилась по учебным предметам без аттестационных испытаний, поэтому обучающимся всех уровней образования итоговые отметки выставили по текущей успеваемости.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2019–2020 учебного года.</w:t>
      </w:r>
    </w:p>
    <w:p w:rsidR="00F12B20" w:rsidRPr="00CC3073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30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6. Статистика показателей за 20</w:t>
      </w:r>
      <w:r w:rsidR="00CC30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CC30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–202</w:t>
      </w:r>
      <w:r w:rsidR="00CC30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CC30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7"/>
        <w:gridCol w:w="6250"/>
        <w:gridCol w:w="2060"/>
      </w:tblGrid>
      <w:tr w:rsidR="00F12B2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 w:rsidP="004562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4562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 w:rsidR="0045626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F12B20"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Pr="00B3584B" w:rsidRDefault="00B93E2E" w:rsidP="004562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</w:t>
            </w:r>
            <w:r w:rsidR="0045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45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 в том числе: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F12B20"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235</w:t>
            </w:r>
          </w:p>
        </w:tc>
      </w:tr>
      <w:tr w:rsidR="00F12B20"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268</w:t>
            </w:r>
          </w:p>
        </w:tc>
      </w:tr>
      <w:tr w:rsidR="00F12B20"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F12B20"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 повторное обучение: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12B20"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12B20"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12B20"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12B20"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12B20"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12B20"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12B20"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12B20"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F12B20"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В Школе присутствует профильное обучение. Углубленного обучения нет.</w:t>
      </w:r>
    </w:p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F12B20" w:rsidRDefault="00B93E2E">
      <w:pPr>
        <w:rPr>
          <w:rFonts w:hAnsi="Times New Roman" w:cs="Times New Roman"/>
          <w:color w:val="000000"/>
          <w:sz w:val="24"/>
          <w:szCs w:val="24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 начального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</w:t>
      </w:r>
      <w:r w:rsidR="00456265">
        <w:rPr>
          <w:rFonts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45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учебном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8"/>
        <w:gridCol w:w="820"/>
        <w:gridCol w:w="952"/>
        <w:gridCol w:w="375"/>
        <w:gridCol w:w="891"/>
        <w:gridCol w:w="412"/>
        <w:gridCol w:w="891"/>
        <w:gridCol w:w="412"/>
        <w:gridCol w:w="952"/>
        <w:gridCol w:w="300"/>
        <w:gridCol w:w="952"/>
        <w:gridCol w:w="300"/>
        <w:gridCol w:w="952"/>
        <w:gridCol w:w="300"/>
      </w:tblGrid>
      <w:tr w:rsidR="00F12B20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F12B20"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F12B20"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F12B2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31,4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2B2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37,3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2B2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2B2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сравнить результаты освоения обучающимися программ начального общего образования по показателю «успеваемость» в 2019 году с результатами освоения учащимися программ начального общего образования по показателю «успеваемость» в 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2020 году, то можно отметить, что процент учащихся, окончивших на «4» и «5», вырос на 2,6 процента (в 2019-м был 62,4%), процент учащихся, окончивших на «5», вырос на 2,5 процента (в 2019-м – 17,5%).</w:t>
      </w:r>
      <w:proofErr w:type="gramEnd"/>
    </w:p>
    <w:p w:rsidR="00F12B20" w:rsidRDefault="00B93E2E">
      <w:pPr>
        <w:rPr>
          <w:rFonts w:hAnsi="Times New Roman" w:cs="Times New Roman"/>
          <w:color w:val="000000"/>
          <w:sz w:val="24"/>
          <w:szCs w:val="24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8. Результаты освоения учащимися программ основного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</w:t>
      </w:r>
      <w:r w:rsidR="00456265">
        <w:rPr>
          <w:rFonts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45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8"/>
        <w:gridCol w:w="820"/>
        <w:gridCol w:w="952"/>
        <w:gridCol w:w="375"/>
        <w:gridCol w:w="891"/>
        <w:gridCol w:w="412"/>
        <w:gridCol w:w="891"/>
        <w:gridCol w:w="412"/>
        <w:gridCol w:w="952"/>
        <w:gridCol w:w="300"/>
        <w:gridCol w:w="952"/>
        <w:gridCol w:w="300"/>
        <w:gridCol w:w="952"/>
        <w:gridCol w:w="300"/>
      </w:tblGrid>
      <w:tr w:rsidR="00F12B20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F12B20"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F12B20"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F12B2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2B2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A361BB" w:rsidRDefault="00A361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A361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2B2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2B2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205DE4" w:rsidRDefault="00205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2B2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205DE4" w:rsidRDefault="00205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2B2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05DE4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сравнить результаты освоения обучающимися программ основного общего образования по показателю «успеваемость» в 2020 году с результатами освоения учащимися программ основного общего образования по показателю «успеваемость» в 2020 году, то можно отметить, что процент учащихся, окончивших на «4» и «5», повысился на 1,7 </w:t>
      </w:r>
    </w:p>
    <w:p w:rsidR="00F12B20" w:rsidRDefault="00B93E2E">
      <w:pPr>
        <w:rPr>
          <w:rFonts w:hAnsi="Times New Roman" w:cs="Times New Roman"/>
          <w:color w:val="000000"/>
          <w:sz w:val="24"/>
          <w:szCs w:val="24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9. Результаты освоения программ среднего общего образования обучающимися 10-х, 11-х классов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</w:t>
      </w:r>
      <w:r w:rsidR="00456265">
        <w:rPr>
          <w:rFonts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45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8"/>
        <w:gridCol w:w="820"/>
        <w:gridCol w:w="952"/>
        <w:gridCol w:w="375"/>
        <w:gridCol w:w="891"/>
        <w:gridCol w:w="412"/>
        <w:gridCol w:w="891"/>
        <w:gridCol w:w="412"/>
        <w:gridCol w:w="952"/>
        <w:gridCol w:w="300"/>
        <w:gridCol w:w="952"/>
        <w:gridCol w:w="300"/>
        <w:gridCol w:w="952"/>
        <w:gridCol w:w="300"/>
      </w:tblGrid>
      <w:tr w:rsidR="00F12B20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F12B20"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F12B20"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F12B2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2B2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205DE4" w:rsidRDefault="00205D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2B2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среднего общего образования по показателю «успеваемость» в 2020 учебном году выросли на</w:t>
      </w:r>
      <w:r w:rsidR="00205DE4"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13,5%</w:t>
      </w:r>
    </w:p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Особенности проведения ГИА в</w:t>
      </w:r>
      <w:r w:rsidR="00456265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</w:t>
      </w:r>
      <w:proofErr w:type="spell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-19).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10. Общая численность выпускников 2019–2020 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5"/>
        <w:gridCol w:w="3005"/>
        <w:gridCol w:w="3005"/>
      </w:tblGrid>
      <w:tr w:rsidR="00F12B20"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:rsidR="00F12B20"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205DE4" w:rsidRDefault="00205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F12B20"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семейном образовании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2B20"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2B20"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 сочинение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F12B20"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допущенных к ГИА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2B20"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F12B20"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проходивших процедуру </w:t>
            </w:r>
            <w:r w:rsidRPr="00B35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Выпускники 9-го класса 2020 года – это первые выпускники, получившие образование в соответствии с требованиями ФГОС ООО, утвержденного приказом </w:t>
      </w:r>
      <w:proofErr w:type="spell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№ 1897.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итоговая аттестация выпускников 11-го класса в формате ЕГЭ проводилась в соответствии с расписанием ГИА в 2020 году в основной период с 3 по 23 июля.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12. Количество обучающихся в 11-м классах по профилям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7"/>
        <w:gridCol w:w="2369"/>
        <w:gridCol w:w="2172"/>
        <w:gridCol w:w="3369"/>
      </w:tblGrid>
      <w:tr w:rsidR="00F12B20" w:rsidTr="00205DE4"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F12B20" w:rsidTr="00205DE4"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</w:t>
            </w:r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Физико-математический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Нурмагомедова Асият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</w:tr>
      <w:tr w:rsidR="00F12B20" w:rsidTr="00205DE4"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="00205DE4">
              <w:rPr>
                <w:rFonts w:hAnsi="Times New Roman" w:cs="Times New Roman"/>
                <w:color w:val="000000"/>
                <w:sz w:val="24"/>
                <w:szCs w:val="24"/>
              </w:rPr>
              <w:t>«П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Физико-математический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Алтухова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Андреевна</w:t>
            </w:r>
            <w:proofErr w:type="spellEnd"/>
          </w:p>
        </w:tc>
      </w:tr>
    </w:tbl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13. Выбор предметов для сдачи ЕГЭ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8"/>
        <w:gridCol w:w="1540"/>
        <w:gridCol w:w="1457"/>
        <w:gridCol w:w="1462"/>
        <w:gridCol w:w="1590"/>
      </w:tblGrid>
      <w:tr w:rsidR="00F12B20" w:rsidTr="00205DE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 «</w:t>
            </w:r>
            <w:r w:rsidR="00205DE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 от общего количества</w:t>
            </w:r>
          </w:p>
        </w:tc>
      </w:tr>
      <w:tr w:rsidR="00F12B20" w:rsidTr="00205DE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205D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  <w:tr w:rsidR="00F12B20" w:rsidTr="00205DE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  <w:tr w:rsidR="00F12B20" w:rsidTr="00205DE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(профиль)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  <w:tr w:rsidR="00F12B20" w:rsidTr="00205DE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  <w:tr w:rsidR="00F12B20" w:rsidTr="00205DE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  <w:tr w:rsidR="00F12B20" w:rsidTr="00205DE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  <w:tr w:rsidR="00F12B20" w:rsidTr="00205DE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</w:tbl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количестве претендентов на медаль «За особые успехи в учении»</w:t>
      </w:r>
    </w:p>
    <w:p w:rsidR="00F12B20" w:rsidRDefault="00B93E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14.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Количество медалистов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4"/>
        <w:gridCol w:w="1534"/>
        <w:gridCol w:w="1534"/>
        <w:gridCol w:w="1534"/>
        <w:gridCol w:w="1534"/>
        <w:gridCol w:w="1537"/>
      </w:tblGrid>
      <w:tr w:rsidR="00F12B20">
        <w:tc>
          <w:tcPr>
            <w:tcW w:w="95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ЗОЛОТО</w:t>
            </w:r>
          </w:p>
        </w:tc>
      </w:tr>
      <w:tr w:rsidR="00F12B20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F12B20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CC2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15. Получили медаль «За особые успехи в учении» в 2019–2020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4039"/>
        <w:gridCol w:w="2152"/>
        <w:gridCol w:w="2342"/>
      </w:tblGrid>
      <w:tr w:rsidR="00F12B2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выпускника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F12B2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3541A1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Бадиева Асият Азихановна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r>
              <w:rPr>
                <w:rFonts w:hAnsi="Times New Roman" w:cs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3541A1" w:rsidRDefault="003541A1">
            <w:pPr>
              <w:rPr>
                <w:lang w:val="ru-RU"/>
              </w:rPr>
            </w:pPr>
            <w:r>
              <w:rPr>
                <w:lang w:val="ru-RU"/>
              </w:rPr>
              <w:t>Рамазанова Рабият Залимхановна</w:t>
            </w:r>
          </w:p>
        </w:tc>
      </w:tr>
      <w:tr w:rsidR="00F12B2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3541A1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Бадиева Наида Нуцалхановна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="003541A1">
              <w:rPr>
                <w:rFonts w:hAnsi="Times New Roman" w:cs="Times New Roman"/>
                <w:color w:val="000000"/>
                <w:sz w:val="24"/>
                <w:szCs w:val="24"/>
              </w:rPr>
              <w:t>«А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3541A1">
            <w:r>
              <w:rPr>
                <w:lang w:val="ru-RU"/>
              </w:rPr>
              <w:t>Рамазанова Рабият Залимхановна</w:t>
            </w:r>
          </w:p>
        </w:tc>
      </w:tr>
      <w:tr w:rsidR="00F12B2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3541A1" w:rsidRDefault="003541A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3541A1" w:rsidRDefault="003541A1">
            <w:pPr>
              <w:rPr>
                <w:lang w:val="ru-RU"/>
              </w:rPr>
            </w:pPr>
            <w:r>
              <w:rPr>
                <w:lang w:val="ru-RU"/>
              </w:rPr>
              <w:t>Магомедрасулова Эльмира Магомедзагировна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3541A1" w:rsidRDefault="003541A1">
            <w:pPr>
              <w:rPr>
                <w:lang w:val="ru-RU"/>
              </w:rPr>
            </w:pPr>
            <w:r>
              <w:rPr>
                <w:lang w:val="ru-RU"/>
              </w:rPr>
              <w:t>11 «А»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354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Рамазанова Рабият Залимхановна</w:t>
            </w:r>
          </w:p>
        </w:tc>
      </w:tr>
      <w:tr w:rsidR="003541A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1A1" w:rsidRDefault="003541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1A1" w:rsidRDefault="003541A1">
            <w:pPr>
              <w:rPr>
                <w:lang w:val="ru-RU"/>
              </w:rPr>
            </w:pPr>
            <w:r>
              <w:rPr>
                <w:lang w:val="ru-RU"/>
              </w:rPr>
              <w:t xml:space="preserve">Пискунова Диана </w:t>
            </w:r>
            <w:proofErr w:type="spellStart"/>
            <w:r>
              <w:rPr>
                <w:lang w:val="ru-RU"/>
              </w:rPr>
              <w:t>владимиролвна</w:t>
            </w:r>
            <w:proofErr w:type="spellEnd"/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1A1" w:rsidRDefault="003541A1">
            <w:pPr>
              <w:rPr>
                <w:lang w:val="ru-RU"/>
              </w:rPr>
            </w:pPr>
            <w:r>
              <w:rPr>
                <w:lang w:val="ru-RU"/>
              </w:rPr>
              <w:t>11 «П»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1A1" w:rsidRPr="003541A1" w:rsidRDefault="003541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Алтухова Вера Андреевна</w:t>
            </w:r>
          </w:p>
        </w:tc>
      </w:tr>
    </w:tbl>
    <w:p w:rsidR="00F12B20" w:rsidRDefault="00B93E2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итогах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обязательных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экзаменов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Профильный уровень по математике.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Минимальный порог – 27 баллов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16. Результаты по математике (профильный уровень)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7"/>
        <w:gridCol w:w="1715"/>
        <w:gridCol w:w="1750"/>
        <w:gridCol w:w="1542"/>
        <w:gridCol w:w="1332"/>
        <w:gridCol w:w="1181"/>
      </w:tblGrid>
      <w:tr w:rsidR="00F12B20">
        <w:trPr>
          <w:trHeight w:val="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Класс/Ф. И. О. учителя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Участвовало в ЕГЭ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 набрали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Min</w:t>
            </w:r>
            <w:r w:rsidRPr="00B358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балл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358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 И.)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r w:rsidRPr="00B358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балл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358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 И. – кол-во баллов)</w:t>
            </w:r>
          </w:p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тестовый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F12B20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 «А»</w:t>
            </w:r>
          </w:p>
          <w:p w:rsidR="00F12B20" w:rsidRPr="00CC2AC3" w:rsidRDefault="00CC2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Рабият Залимхановна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996D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996DCD" w:rsidRDefault="00996D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12B20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r w:rsidR="00996D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F12B20" w:rsidRPr="00CC2AC3" w:rsidRDefault="00CC2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Алтухова Вера Андреевна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996D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996DCD" w:rsidRDefault="00996D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F12B20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  <w:tr w:rsidR="00F12B20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Школе: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</w:tbl>
    <w:p w:rsidR="00F12B20" w:rsidRDefault="00B93E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 язык. Проходной балл – 36 баллов</w:t>
      </w:r>
    </w:p>
    <w:p w:rsidR="00F12B20" w:rsidRDefault="00B93E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17. Результаты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921"/>
        <w:gridCol w:w="1560"/>
        <w:gridCol w:w="1201"/>
        <w:gridCol w:w="2416"/>
        <w:gridCol w:w="1204"/>
      </w:tblGrid>
      <w:tr w:rsidR="00F12B20" w:rsidTr="00CC2AC3">
        <w:trPr>
          <w:trHeight w:val="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Класс/Ф. И. О. учителя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Участвовало в ЕГЭ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58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 набрали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Min</w:t>
            </w:r>
            <w:r w:rsidRPr="00B358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балл (Ф. И.)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B3584B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r w:rsidRPr="00B358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балл (Ф. И. – кол-во баллов)</w:t>
            </w:r>
          </w:p>
          <w:p w:rsidR="00F12B20" w:rsidRPr="00B3584B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тестовый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F12B20" w:rsidTr="00CC2AC3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 «А»</w:t>
            </w:r>
          </w:p>
          <w:p w:rsidR="00F12B20" w:rsidRPr="00996DCD" w:rsidRDefault="00996D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Рамазанова Рабият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Залимхановна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996D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996D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996DCD" w:rsidRDefault="00996D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Бадиева Асият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B20" w:rsidTr="00CC2AC3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11 </w:t>
            </w:r>
            <w:r w:rsidR="00996D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F12B20" w:rsidRPr="00996DCD" w:rsidRDefault="00996D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Алтухова Вера Андреевна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996D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996D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93E2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996DCD" w:rsidRDefault="00996D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Пискунова Диана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B20" w:rsidTr="00CC2AC3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B93E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CC2AC3" w:rsidRDefault="00CC2AC3" w:rsidP="00CC2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Pr="00CC2AC3" w:rsidRDefault="00CC2AC3" w:rsidP="00CC2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 w:rsidP="00CC2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CC2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B20" w:rsidRDefault="00F12B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Общая успеваемость – 100 процентов, средний балл – 85 процентов, что выше результатов предыдущего года на 3 процента.</w:t>
      </w:r>
    </w:p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Весна 2020.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Всероссийские проверочные работы, проведение которых было запланировано на весну 2020 года, не проводились из-за сложной эпидемиологической ситуации.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Осень 2020.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Всероссийские проверочные работы  были проведены</w:t>
      </w:r>
      <w:r w:rsidR="003541A1" w:rsidRPr="00B3584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В 2020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3541A1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Весна 202</w:t>
      </w:r>
      <w:r w:rsidR="0045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года, </w:t>
      </w:r>
      <w:proofErr w:type="spellStart"/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начало введения в Школе дистанционного обучения были проведены школьный, муниципальный и региональный этапы Всероссийской олимпиады школьников. Количественные данные по всем этапам Всероссийской олимпиады школьников в 20</w:t>
      </w:r>
      <w:r w:rsidR="00456265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45626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учебном году показали  высокий объем участия.</w:t>
      </w:r>
      <w:r w:rsidR="003541A1"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Осень 202</w:t>
      </w:r>
      <w:r w:rsidR="0045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года, </w:t>
      </w:r>
      <w:proofErr w:type="spellStart"/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В 2020/21 году в рамках </w:t>
      </w:r>
      <w:proofErr w:type="spell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школьный и муниципальный этапы. Анализируя результаты двух этапов, можно сделать вывод, что количественные показатели не изменились по сравнению с прошлым учебным годом</w:t>
      </w:r>
      <w:r w:rsidR="003541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В 2020 году был проанализирован объем участников дистанционных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 исключительно в дистанционном формате.</w:t>
      </w:r>
    </w:p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снижения напряженности среди родителей по вопросу </w:t>
      </w:r>
      <w:proofErr w:type="spell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дистанта</w:t>
      </w:r>
      <w:proofErr w:type="spell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в 202</w:t>
      </w:r>
      <w:r w:rsidR="0045626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на сайте ОО был организован специальный раздел, обеспечена работа горячей телефонной линии по сбору информации о проблемах в организации и по вопросам качества дистанционного обучения. Была предложена анкета «Удовлетворенность качеством дистанционного обучения в лицее».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Результаты анализа анкетирования показывают положительную/отрицательную динамику удовлетворенности родителей по ключевым показателям в сравнении весеннего и осеннего дистанционного периодов.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 окончании 2019–2020 учебного года в адрес Школы поступили благодарности от родителей отдельных классов в адрес педагогов, качественно организовавших период дистанционного обучения. Осенью количество обращений родителей по вопросам организации качества дистанционного обучения сократилось. Этому способствовала работа по обеспечению открытости материалов методического и психолого-педагогического характера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по вопросам роли родителей в создании необходимых условий для обучения учащихся в случае временного их перевода на обучение</w:t>
      </w:r>
      <w:proofErr w:type="gram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с применением дистанционных и электронных форм.</w:t>
      </w:r>
    </w:p>
    <w:p w:rsidR="00F12B20" w:rsidRPr="00B3584B" w:rsidRDefault="00F12B2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2B20" w:rsidRPr="00B3584B" w:rsidRDefault="00B93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КАДРОВОГО ОБЕСПЕЧЕНИЯ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F12B20" w:rsidRPr="00B3584B" w:rsidRDefault="00B93E2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F12B20" w:rsidRPr="00B3584B" w:rsidRDefault="00B93E2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F12B20" w:rsidRDefault="00B93E2E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541A1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</w:t>
      </w:r>
      <w:r w:rsidR="003541A1"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48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41A1" w:rsidRPr="00B3584B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541A1"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в том числе 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3541A1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41A1" w:rsidRPr="00B3584B">
        <w:rPr>
          <w:rFonts w:hAnsi="Times New Roman" w:cs="Times New Roman"/>
          <w:color w:val="000000"/>
          <w:sz w:val="24"/>
          <w:szCs w:val="24"/>
          <w:lang w:val="ru-RU"/>
        </w:rPr>
        <w:t>внешних совместителей</w:t>
      </w:r>
      <w:r w:rsidR="003541A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Анализ мероприятий, которые проведены в Школе в 202</w:t>
      </w:r>
      <w:r w:rsidR="008C249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bookmarkStart w:id="0" w:name="_GoBack"/>
      <w:bookmarkEnd w:id="0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году, по вопросу подготовки педагогов к новой модели аттестации свидетельствует об отсутствии системности в работе по этому направлению. Так, методическое объединение учителей начальной школы один раз в плане работы отразило вопрос о новых подходах к аттестации, а методические объединения учителей иностранных языков и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цикла рассмотрели нововведения в общих чертах. Объяснением сложившейся ситуации может служить сохранение действующей модели аттестации до 31.12.2020 и отсутствие утвержденных на федеральном уровне документов, закрепляющих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proofErr w:type="gram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анализа данных по применению педагогами информационных и дистанционных технологий в образовательной деятельности – урочной, внеурочной и дополнительном образовании – показали, что интенсивность их применения выпала на период перехода в дистанционный режим при распространении </w:t>
      </w:r>
      <w:proofErr w:type="spell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что является закономерным.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Для понимания ситуации в Школе было проведено исследование, результаты которого демонстрируют, что 24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педагогов начальной, 32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– основной и 28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– средней школы, а также 30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педагогов дополнительного образования считают, что им не хватает компетенций для подготовки к дистанционным занятиям. 18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педагогов начальной, 28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– основной и 24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– средней школы, а также 28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педагогов дополнительного</w:t>
      </w:r>
      <w:proofErr w:type="gram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полагают, что им недостаточно компетенций для применения дистанционных инструментов при реализации программ (см. гистограмму). 65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 отметили, что ранее не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практиковали такую форму обучения и у них не было</w:t>
      </w:r>
      <w:proofErr w:type="gram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никакого опыта для ее реализации.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 данных по совершенствованию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gram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у педагогов Школы в рамках корпоративного обучения, а также в других образовательных организациях свидетельствует об отсутствии системного подхода и требует проработки, в том числе и планирования работы по обучению педагогов.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в связи с выявленными проблемами в системе работы с кадрами заместителю директора по УВР необходимо проработать вопрос с руководителями профессиональных объединений, составить план подготовки к аттестации и приступить к его реализации.</w:t>
      </w:r>
    </w:p>
    <w:p w:rsidR="00F12B20" w:rsidRPr="00B3584B" w:rsidRDefault="00F12B2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2B20" w:rsidRPr="00B3584B" w:rsidRDefault="00F12B2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2B20" w:rsidRDefault="00B93E2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IX. ОЦЕНКА МАТЕРИАЛЬНО-ТЕХНИЧЕСКОЙ БАЗЫ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обеспечение Школы позволяет реализовывать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3541A1"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достаточной 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proofErr w:type="gram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образовательные программы. В Школе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 w:rsidR="00996DCD"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</w:t>
      </w:r>
      <w:r w:rsidR="00996DCD"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кабинетов 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современной мультимедийной техникой</w:t>
      </w:r>
      <w:r w:rsidR="00996DCD" w:rsidRPr="00B358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В Школе есть учебный кабинет для инвалидов и лиц с ОВЗ. Кабинет расположен на первом этаже. Доступ к кабинету осуществляется через вход, оборудованный пандусом.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996DCD" w:rsidRPr="00B3584B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этаже здания оборудованы спортивный </w:t>
      </w:r>
      <w:r w:rsidR="00996DCD" w:rsidRPr="00B3584B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96DCD" w:rsidRPr="00B3584B">
        <w:rPr>
          <w:rFonts w:hAnsi="Times New Roman" w:cs="Times New Roman"/>
          <w:color w:val="000000"/>
          <w:sz w:val="24"/>
          <w:szCs w:val="24"/>
          <w:lang w:val="ru-RU"/>
        </w:rPr>
        <w:t>В отдельном помещении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 xml:space="preserve"> столовая и пищеблок.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Асфальтированная площадка для игр на территории Школы оборудована полосой препятствий: металлические шесты, две лестницы, лабиринт. Предусмотрена площадка для оздоровительных занятий для инвалидов и детей с ОВЗ.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Анализ материально-технического обеспечения Школы показал наибольшие нарекания со стороны участников образовательных отношений в период работы Школы в дистанционном режиме – к материально-техническому обеспечению образовательного процесса в режиме онлайн. При этом педагоги на уровне выше среднего оценивают готовность материально-технической базы Школы для обучения в традиционном формате. Так, 65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опрошенных отмечают наличие в Школе компьютерной техники, образовательных онлайн-платформ, доступ к интернету и пр. При этом 32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педагогов считают, что Школа имеет соответствующие требованиям ФГОС и современным требованиям условия, необходимые для организации образовательного процесса в очном и дистанционном формате, материально-техническую базу для работы. Однако стоит отметить, что 13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педагогов считают, что материально-техническая база Школы частично готова к реализации программ в дистанционном или смешанном формате. 35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опрошенных педагогов и 28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родителей, включая их детей, отметили нестабильность подачи интернета.</w:t>
      </w:r>
    </w:p>
    <w:p w:rsidR="00F12B20" w:rsidRPr="00B3584B" w:rsidRDefault="00B93E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84B">
        <w:rPr>
          <w:rFonts w:hAnsi="Times New Roman" w:cs="Times New Roman"/>
          <w:color w:val="000000"/>
          <w:sz w:val="24"/>
          <w:szCs w:val="24"/>
          <w:lang w:val="ru-RU"/>
        </w:rPr>
        <w:t>Обозначенные проблемы в материально-техническом обеспечении образовательного процесса в дистанционном или смешанном формате требуют тщательного изучения потребности Школы в материально-технических ресурсах. Для чего администрацией будет подготовлен отчет по оснащенности Школы и план развития цифровой среды.</w:t>
      </w:r>
    </w:p>
    <w:p w:rsidR="00996DCD" w:rsidRPr="00B3584B" w:rsidRDefault="00996D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96DCD" w:rsidRPr="00B3584B" w:rsidSect="00B93E2E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A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017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002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E44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2B1B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F77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86A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F18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251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E317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0C26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064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4D0F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F717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0B7E5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022A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002D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B37C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4273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3F27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3443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7C55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733B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12"/>
  </w:num>
  <w:num w:numId="9">
    <w:abstractNumId w:val="15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1"/>
  </w:num>
  <w:num w:numId="15">
    <w:abstractNumId w:val="3"/>
  </w:num>
  <w:num w:numId="16">
    <w:abstractNumId w:val="14"/>
  </w:num>
  <w:num w:numId="17">
    <w:abstractNumId w:val="4"/>
  </w:num>
  <w:num w:numId="18">
    <w:abstractNumId w:val="19"/>
  </w:num>
  <w:num w:numId="19">
    <w:abstractNumId w:val="20"/>
  </w:num>
  <w:num w:numId="20">
    <w:abstractNumId w:val="18"/>
  </w:num>
  <w:num w:numId="21">
    <w:abstractNumId w:val="8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6F32"/>
    <w:rsid w:val="00205DE4"/>
    <w:rsid w:val="002D33B1"/>
    <w:rsid w:val="002D3591"/>
    <w:rsid w:val="003514A0"/>
    <w:rsid w:val="003541A1"/>
    <w:rsid w:val="00456265"/>
    <w:rsid w:val="004F7E17"/>
    <w:rsid w:val="005A05CE"/>
    <w:rsid w:val="00653AF6"/>
    <w:rsid w:val="007A18E6"/>
    <w:rsid w:val="008C2491"/>
    <w:rsid w:val="00996DCD"/>
    <w:rsid w:val="00A361BB"/>
    <w:rsid w:val="00B3584B"/>
    <w:rsid w:val="00B667CE"/>
    <w:rsid w:val="00B73A5A"/>
    <w:rsid w:val="00B93E2E"/>
    <w:rsid w:val="00CC2AC3"/>
    <w:rsid w:val="00CC3073"/>
    <w:rsid w:val="00E438A1"/>
    <w:rsid w:val="00F01E19"/>
    <w:rsid w:val="00F1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93E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58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93E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58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kousosh-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4178</Words>
  <Characters>23820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dc:description>Подготовлено экспертами Актион-МЦФЭР</dc:description>
  <cp:lastModifiedBy>Патимат</cp:lastModifiedBy>
  <cp:revision>2</cp:revision>
  <dcterms:created xsi:type="dcterms:W3CDTF">2022-03-21T06:37:00Z</dcterms:created>
  <dcterms:modified xsi:type="dcterms:W3CDTF">2022-03-21T06:37:00Z</dcterms:modified>
</cp:coreProperties>
</file>